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42" w:rsidRPr="007B042D" w:rsidRDefault="00D74742" w:rsidP="00D74742">
      <w:pPr>
        <w:autoSpaceDE w:val="0"/>
        <w:autoSpaceDN w:val="0"/>
        <w:adjustRightInd w:val="0"/>
        <w:jc w:val="center"/>
        <w:rPr>
          <w:rFonts w:ascii="Times New Roman" w:hAnsi="Times New Roman"/>
          <w:b/>
          <w:sz w:val="24"/>
          <w:szCs w:val="24"/>
        </w:rPr>
      </w:pPr>
      <w:r w:rsidRPr="007B042D">
        <w:rPr>
          <w:rFonts w:ascii="Times New Roman" w:hAnsi="Times New Roman"/>
          <w:b/>
          <w:sz w:val="24"/>
          <w:szCs w:val="24"/>
        </w:rPr>
        <w:t>CROPS RESPONSE TOWARDS AOTX INDICES IN NEGERI SEMBILAN</w:t>
      </w:r>
    </w:p>
    <w:p w:rsidR="00D74742" w:rsidRPr="007B042D" w:rsidRDefault="00D74742" w:rsidP="00D74742">
      <w:pPr>
        <w:pStyle w:val="NoSpacing"/>
        <w:spacing w:line="276" w:lineRule="auto"/>
        <w:jc w:val="center"/>
        <w:rPr>
          <w:b/>
          <w:sz w:val="22"/>
        </w:rPr>
      </w:pPr>
      <w:proofErr w:type="spellStart"/>
      <w:r w:rsidRPr="007B042D">
        <w:rPr>
          <w:b/>
          <w:sz w:val="22"/>
        </w:rPr>
        <w:t>Nurul</w:t>
      </w:r>
      <w:proofErr w:type="spellEnd"/>
      <w:r w:rsidRPr="007B042D">
        <w:rPr>
          <w:b/>
          <w:sz w:val="22"/>
        </w:rPr>
        <w:t xml:space="preserve"> </w:t>
      </w:r>
      <w:proofErr w:type="spellStart"/>
      <w:r w:rsidRPr="007B042D">
        <w:rPr>
          <w:b/>
          <w:sz w:val="22"/>
        </w:rPr>
        <w:t>Izma</w:t>
      </w:r>
      <w:proofErr w:type="spellEnd"/>
      <w:r w:rsidRPr="007B042D">
        <w:rPr>
          <w:b/>
          <w:sz w:val="22"/>
        </w:rPr>
        <w:t xml:space="preserve"> Mohammed, Nor </w:t>
      </w:r>
      <w:proofErr w:type="spellStart"/>
      <w:r w:rsidRPr="007B042D">
        <w:rPr>
          <w:b/>
          <w:sz w:val="22"/>
        </w:rPr>
        <w:t>Azam</w:t>
      </w:r>
      <w:proofErr w:type="spellEnd"/>
      <w:r w:rsidRPr="007B042D">
        <w:rPr>
          <w:b/>
          <w:sz w:val="22"/>
        </w:rPr>
        <w:t xml:space="preserve"> </w:t>
      </w:r>
      <w:proofErr w:type="spellStart"/>
      <w:r w:rsidRPr="007B042D">
        <w:rPr>
          <w:b/>
          <w:sz w:val="22"/>
        </w:rPr>
        <w:t>Ramli</w:t>
      </w:r>
      <w:proofErr w:type="spellEnd"/>
      <w:r w:rsidRPr="007B042D">
        <w:rPr>
          <w:b/>
          <w:sz w:val="22"/>
        </w:rPr>
        <w:t xml:space="preserve">, Ahmad </w:t>
      </w:r>
      <w:proofErr w:type="spellStart"/>
      <w:r w:rsidRPr="007B042D">
        <w:rPr>
          <w:b/>
          <w:sz w:val="22"/>
        </w:rPr>
        <w:t>Shukri</w:t>
      </w:r>
      <w:proofErr w:type="spellEnd"/>
      <w:r w:rsidRPr="007B042D">
        <w:rPr>
          <w:b/>
          <w:sz w:val="22"/>
        </w:rPr>
        <w:t xml:space="preserve"> </w:t>
      </w:r>
      <w:proofErr w:type="spellStart"/>
      <w:r w:rsidRPr="007B042D">
        <w:rPr>
          <w:b/>
          <w:sz w:val="22"/>
        </w:rPr>
        <w:t>Yahya</w:t>
      </w:r>
      <w:proofErr w:type="spellEnd"/>
    </w:p>
    <w:p w:rsidR="00D74742" w:rsidRPr="0090306C" w:rsidRDefault="00D74742" w:rsidP="00D74742">
      <w:pPr>
        <w:pStyle w:val="NoSpacing"/>
        <w:spacing w:line="276" w:lineRule="auto"/>
        <w:jc w:val="center"/>
        <w:rPr>
          <w:sz w:val="20"/>
          <w:szCs w:val="20"/>
        </w:rPr>
      </w:pPr>
      <w:proofErr w:type="gramStart"/>
      <w:r w:rsidRPr="007B042D">
        <w:rPr>
          <w:sz w:val="22"/>
        </w:rPr>
        <w:t xml:space="preserve">Clean Air Research Group, School of Civil Engineering, Engineering Campus, </w:t>
      </w:r>
      <w:proofErr w:type="spellStart"/>
      <w:r w:rsidRPr="007B042D">
        <w:rPr>
          <w:sz w:val="22"/>
        </w:rPr>
        <w:t>Universiti</w:t>
      </w:r>
      <w:proofErr w:type="spellEnd"/>
      <w:r w:rsidRPr="007B042D">
        <w:rPr>
          <w:sz w:val="22"/>
        </w:rPr>
        <w:t xml:space="preserve"> </w:t>
      </w:r>
      <w:proofErr w:type="spellStart"/>
      <w:r w:rsidRPr="007B042D">
        <w:rPr>
          <w:sz w:val="22"/>
        </w:rPr>
        <w:t>Sains</w:t>
      </w:r>
      <w:proofErr w:type="spellEnd"/>
      <w:r w:rsidRPr="007B042D">
        <w:rPr>
          <w:sz w:val="22"/>
        </w:rPr>
        <w:t xml:space="preserve"> Malaysia, 14300 </w:t>
      </w:r>
      <w:proofErr w:type="spellStart"/>
      <w:r w:rsidRPr="007B042D">
        <w:rPr>
          <w:sz w:val="22"/>
        </w:rPr>
        <w:t>Nibong</w:t>
      </w:r>
      <w:proofErr w:type="spellEnd"/>
      <w:r w:rsidRPr="007B042D">
        <w:rPr>
          <w:sz w:val="22"/>
        </w:rPr>
        <w:t xml:space="preserve"> </w:t>
      </w:r>
      <w:proofErr w:type="spellStart"/>
      <w:r w:rsidRPr="007B042D">
        <w:rPr>
          <w:sz w:val="22"/>
        </w:rPr>
        <w:t>Tebal</w:t>
      </w:r>
      <w:proofErr w:type="spellEnd"/>
      <w:r w:rsidRPr="007B042D">
        <w:rPr>
          <w:sz w:val="22"/>
        </w:rPr>
        <w:t>, Penang, MALAYSIA</w:t>
      </w:r>
      <w:r w:rsidRPr="0090306C">
        <w:rPr>
          <w:sz w:val="20"/>
          <w:szCs w:val="20"/>
        </w:rPr>
        <w:t>.</w:t>
      </w:r>
      <w:proofErr w:type="gramEnd"/>
    </w:p>
    <w:p w:rsidR="00D74742" w:rsidRDefault="00D74742" w:rsidP="00D74742">
      <w:pPr>
        <w:rPr>
          <w:rFonts w:ascii="Times New Roman" w:hAnsi="Times New Roman"/>
          <w:b/>
          <w:i/>
          <w:sz w:val="20"/>
          <w:szCs w:val="20"/>
        </w:rPr>
      </w:pPr>
    </w:p>
    <w:p w:rsidR="000870D0" w:rsidRPr="0090306C" w:rsidRDefault="000870D0" w:rsidP="00D74742">
      <w:pPr>
        <w:rPr>
          <w:rFonts w:ascii="Times New Roman" w:hAnsi="Times New Roman"/>
          <w:b/>
          <w:i/>
          <w:sz w:val="20"/>
          <w:szCs w:val="20"/>
        </w:rPr>
      </w:pPr>
    </w:p>
    <w:p w:rsidR="00D74742" w:rsidRDefault="00D74742" w:rsidP="000870D0">
      <w:pPr>
        <w:jc w:val="center"/>
        <w:rPr>
          <w:rFonts w:ascii="Times New Roman" w:hAnsi="Times New Roman"/>
          <w:b/>
          <w:i/>
        </w:rPr>
      </w:pPr>
      <w:r w:rsidRPr="0090306C">
        <w:rPr>
          <w:rFonts w:ascii="Times New Roman" w:hAnsi="Times New Roman"/>
          <w:b/>
          <w:i/>
        </w:rPr>
        <w:t>ABSTRACT</w:t>
      </w:r>
    </w:p>
    <w:p w:rsidR="00D74742" w:rsidRPr="006129EB" w:rsidRDefault="00D74742" w:rsidP="00D74742">
      <w:pPr>
        <w:jc w:val="both"/>
        <w:rPr>
          <w:rFonts w:ascii="Times New Roman" w:hAnsi="Times New Roman"/>
        </w:rPr>
      </w:pPr>
      <w:r>
        <w:rPr>
          <w:rFonts w:ascii="Times New Roman" w:hAnsi="Times New Roman"/>
        </w:rPr>
        <w:t xml:space="preserve">Increasing of ozone concentration in the atmosphere can threaten the food security due to its effects towards crops production. Ozone is believed to be the most damaging air pollutant to crops since 1980’s. </w:t>
      </w:r>
      <w:r w:rsidRPr="006129EB">
        <w:rPr>
          <w:rFonts w:ascii="Times New Roman" w:hAnsi="Times New Roman"/>
        </w:rPr>
        <w:t>Accumulated exposure over a threshold of 40 ppb (AOT40) play</w:t>
      </w:r>
      <w:r>
        <w:rPr>
          <w:rFonts w:ascii="Times New Roman" w:hAnsi="Times New Roman"/>
        </w:rPr>
        <w:t>s</w:t>
      </w:r>
      <w:r w:rsidRPr="006129EB">
        <w:rPr>
          <w:rFonts w:ascii="Times New Roman" w:hAnsi="Times New Roman"/>
        </w:rPr>
        <w:t xml:space="preserve"> an important role in evaluating the ozone impacts on the vegetation</w:t>
      </w:r>
      <w:r>
        <w:rPr>
          <w:rFonts w:ascii="Times New Roman" w:hAnsi="Times New Roman"/>
        </w:rPr>
        <w:t xml:space="preserve"> in the European countries. </w:t>
      </w:r>
      <w:r w:rsidRPr="006129EB">
        <w:rPr>
          <w:rFonts w:ascii="Times New Roman" w:hAnsi="Times New Roman"/>
        </w:rPr>
        <w:t xml:space="preserve">In Malaysia, there is no index to protect the crops from the exposure of the fluctuation of ozone. Thus, this research is carried out in order to determine the crops response towards </w:t>
      </w:r>
      <w:r>
        <w:rPr>
          <w:rFonts w:ascii="Times New Roman" w:hAnsi="Times New Roman"/>
        </w:rPr>
        <w:t xml:space="preserve">the </w:t>
      </w:r>
      <w:r w:rsidRPr="006129EB">
        <w:rPr>
          <w:rFonts w:ascii="Times New Roman" w:hAnsi="Times New Roman"/>
        </w:rPr>
        <w:t>ozone concentration by using nine different AOTX indices, which were AOT0, AOT5, AOT10, AOT15, AOT20, AOT25, AOT30, AOT40, and AOT50</w:t>
      </w:r>
      <w:r w:rsidR="00731F80">
        <w:rPr>
          <w:rFonts w:ascii="Times New Roman" w:hAnsi="Times New Roman"/>
        </w:rPr>
        <w:t xml:space="preserve"> in </w:t>
      </w:r>
      <w:proofErr w:type="spellStart"/>
      <w:r w:rsidR="00731F80">
        <w:rPr>
          <w:rFonts w:ascii="Times New Roman" w:hAnsi="Times New Roman"/>
        </w:rPr>
        <w:t>Negeri</w:t>
      </w:r>
      <w:proofErr w:type="spellEnd"/>
      <w:r w:rsidR="00731F80">
        <w:rPr>
          <w:rFonts w:ascii="Times New Roman" w:hAnsi="Times New Roman"/>
        </w:rPr>
        <w:t xml:space="preserve"> Sembilan</w:t>
      </w:r>
      <w:r w:rsidR="007F0525">
        <w:rPr>
          <w:rFonts w:ascii="Times New Roman" w:hAnsi="Times New Roman"/>
        </w:rPr>
        <w:t xml:space="preserve"> for year 2004</w:t>
      </w:r>
      <w:r w:rsidRPr="006129EB">
        <w:rPr>
          <w:rFonts w:ascii="Times New Roman" w:hAnsi="Times New Roman"/>
        </w:rPr>
        <w:t>.</w:t>
      </w:r>
      <w:r>
        <w:rPr>
          <w:rFonts w:ascii="Times New Roman" w:hAnsi="Times New Roman"/>
        </w:rPr>
        <w:t xml:space="preserve"> </w:t>
      </w:r>
      <w:r w:rsidRPr="006129EB">
        <w:rPr>
          <w:rFonts w:ascii="Times New Roman" w:hAnsi="Times New Roman"/>
        </w:rPr>
        <w:t>The results fro</w:t>
      </w:r>
      <w:r>
        <w:rPr>
          <w:rFonts w:ascii="Times New Roman" w:hAnsi="Times New Roman"/>
        </w:rPr>
        <w:t xml:space="preserve">m this study showed that AOT50 index is the most critical AOTX index, as compared to the others and the formation of the ozone is highly related to the </w:t>
      </w:r>
      <w:r w:rsidRPr="006129EB">
        <w:rPr>
          <w:rFonts w:ascii="Times New Roman" w:hAnsi="Times New Roman"/>
        </w:rPr>
        <w:t>NO</w:t>
      </w:r>
      <w:r w:rsidRPr="006129EB">
        <w:rPr>
          <w:rFonts w:ascii="Times New Roman" w:hAnsi="Times New Roman"/>
          <w:vertAlign w:val="subscript"/>
        </w:rPr>
        <w:t>2</w:t>
      </w:r>
      <w:r w:rsidRPr="006129EB">
        <w:rPr>
          <w:rFonts w:ascii="Times New Roman" w:hAnsi="Times New Roman"/>
        </w:rPr>
        <w:t>, UVB</w:t>
      </w:r>
      <w:r>
        <w:rPr>
          <w:rFonts w:ascii="Times New Roman" w:hAnsi="Times New Roman"/>
        </w:rPr>
        <w:t>, t</w:t>
      </w:r>
      <w:r w:rsidRPr="006129EB">
        <w:rPr>
          <w:rFonts w:ascii="Times New Roman" w:hAnsi="Times New Roman"/>
        </w:rPr>
        <w:t>emperature</w:t>
      </w:r>
      <w:r>
        <w:rPr>
          <w:rFonts w:ascii="Times New Roman" w:hAnsi="Times New Roman"/>
        </w:rPr>
        <w:t xml:space="preserve">, </w:t>
      </w:r>
      <w:r w:rsidRPr="006129EB">
        <w:rPr>
          <w:rFonts w:ascii="Times New Roman" w:hAnsi="Times New Roman"/>
        </w:rPr>
        <w:t xml:space="preserve">wind speed, </w:t>
      </w:r>
      <w:r>
        <w:rPr>
          <w:rFonts w:ascii="Times New Roman" w:hAnsi="Times New Roman"/>
        </w:rPr>
        <w:t xml:space="preserve">and </w:t>
      </w:r>
      <w:r w:rsidRPr="006129EB">
        <w:rPr>
          <w:rFonts w:ascii="Times New Roman" w:hAnsi="Times New Roman"/>
        </w:rPr>
        <w:t>humidity</w:t>
      </w:r>
      <w:r>
        <w:rPr>
          <w:rFonts w:ascii="Times New Roman" w:hAnsi="Times New Roman"/>
        </w:rPr>
        <w:t>. However, the relationship between AOT50 index and ozone concentration need to be completed in order to achieve the most precise explanations.</w:t>
      </w:r>
    </w:p>
    <w:p w:rsidR="00D74742" w:rsidRPr="00637715" w:rsidRDefault="007B042D" w:rsidP="00D74742">
      <w:pPr>
        <w:jc w:val="both"/>
        <w:rPr>
          <w:rFonts w:ascii="Times New Roman" w:hAnsi="Times New Roman"/>
        </w:rPr>
      </w:pPr>
      <w:r w:rsidRPr="00D10E88">
        <w:rPr>
          <w:rFonts w:ascii="Times New Roman" w:hAnsi="Times New Roman"/>
          <w:i/>
        </w:rPr>
        <w:t>Keywords</w:t>
      </w:r>
      <w:r w:rsidR="00BF4852">
        <w:rPr>
          <w:rFonts w:ascii="Times New Roman" w:hAnsi="Times New Roman"/>
        </w:rPr>
        <w:t>: AOT40, AOT50</w:t>
      </w:r>
      <w:r>
        <w:rPr>
          <w:rFonts w:ascii="Times New Roman" w:hAnsi="Times New Roman"/>
        </w:rPr>
        <w:t>, NO</w:t>
      </w:r>
      <w:r w:rsidRPr="007B042D">
        <w:rPr>
          <w:rFonts w:ascii="Times New Roman" w:hAnsi="Times New Roman"/>
          <w:vertAlign w:val="subscript"/>
        </w:rPr>
        <w:t>2</w:t>
      </w:r>
      <w:r>
        <w:rPr>
          <w:rFonts w:ascii="Times New Roman" w:hAnsi="Times New Roman"/>
        </w:rPr>
        <w:t xml:space="preserve">, ozone, </w:t>
      </w:r>
      <w:r w:rsidR="00BF4852">
        <w:rPr>
          <w:rFonts w:ascii="Times New Roman" w:hAnsi="Times New Roman"/>
        </w:rPr>
        <w:t>vegetation</w:t>
      </w:r>
    </w:p>
    <w:p w:rsidR="007B042D" w:rsidRDefault="007B042D" w:rsidP="00D74742">
      <w:pPr>
        <w:jc w:val="both"/>
        <w:rPr>
          <w:rFonts w:ascii="Times New Roman" w:hAnsi="Times New Roman"/>
          <w:b/>
        </w:rPr>
      </w:pPr>
    </w:p>
    <w:p w:rsidR="00D74742" w:rsidRPr="006129EB" w:rsidRDefault="00D74742" w:rsidP="00D74742">
      <w:pPr>
        <w:jc w:val="both"/>
        <w:rPr>
          <w:rFonts w:ascii="Times New Roman" w:hAnsi="Times New Roman"/>
          <w:b/>
        </w:rPr>
      </w:pPr>
      <w:r w:rsidRPr="006129EB">
        <w:rPr>
          <w:rFonts w:ascii="Times New Roman" w:hAnsi="Times New Roman"/>
          <w:b/>
        </w:rPr>
        <w:t>1. INTRODUCTION</w:t>
      </w:r>
    </w:p>
    <w:p w:rsidR="00D74742" w:rsidRPr="006129EB" w:rsidRDefault="00D74742" w:rsidP="00D74742">
      <w:pPr>
        <w:ind w:firstLine="720"/>
        <w:jc w:val="both"/>
        <w:rPr>
          <w:rFonts w:ascii="Times New Roman" w:hAnsi="Times New Roman"/>
        </w:rPr>
      </w:pPr>
      <w:r w:rsidRPr="006129EB">
        <w:rPr>
          <w:rFonts w:ascii="Times New Roman" w:hAnsi="Times New Roman"/>
        </w:rPr>
        <w:t>Growing of ozone concentration in the atmosphere is due to the increasing of ozone precursor’s emissions such as nitrogen oxides and volatile organic compound</w:t>
      </w:r>
      <w:r>
        <w:rPr>
          <w:rFonts w:ascii="Times New Roman" w:hAnsi="Times New Roman"/>
        </w:rPr>
        <w:t>s</w:t>
      </w:r>
      <w:r w:rsidRPr="006129EB">
        <w:rPr>
          <w:rFonts w:ascii="Times New Roman" w:hAnsi="Times New Roman"/>
        </w:rPr>
        <w:t xml:space="preserve">. </w:t>
      </w:r>
      <w:r w:rsidRPr="006129EB">
        <w:rPr>
          <w:rFonts w:ascii="Times New Roman" w:hAnsi="Times New Roman"/>
          <w:color w:val="000000"/>
        </w:rPr>
        <w:t>Since the second half of the last century, many countries in the world have rapidly growth their economic sectors and</w:t>
      </w:r>
      <w:r>
        <w:rPr>
          <w:rFonts w:ascii="Times New Roman" w:hAnsi="Times New Roman"/>
          <w:color w:val="000000"/>
        </w:rPr>
        <w:t xml:space="preserve"> this</w:t>
      </w:r>
      <w:r w:rsidRPr="006129EB">
        <w:rPr>
          <w:rFonts w:ascii="Times New Roman" w:hAnsi="Times New Roman"/>
          <w:color w:val="000000"/>
        </w:rPr>
        <w:t xml:space="preserve"> lea</w:t>
      </w:r>
      <w:r>
        <w:rPr>
          <w:rFonts w:ascii="Times New Roman" w:hAnsi="Times New Roman"/>
          <w:color w:val="000000"/>
        </w:rPr>
        <w:t>ds</w:t>
      </w:r>
      <w:r w:rsidRPr="006129EB">
        <w:rPr>
          <w:rFonts w:ascii="Times New Roman" w:hAnsi="Times New Roman"/>
          <w:color w:val="000000"/>
        </w:rPr>
        <w:t xml:space="preserve"> to the increasing of </w:t>
      </w:r>
      <w:r>
        <w:rPr>
          <w:rFonts w:ascii="Times New Roman" w:hAnsi="Times New Roman"/>
          <w:color w:val="000000"/>
        </w:rPr>
        <w:t xml:space="preserve">the </w:t>
      </w:r>
      <w:r w:rsidRPr="006129EB">
        <w:rPr>
          <w:rFonts w:ascii="Times New Roman" w:hAnsi="Times New Roman"/>
          <w:color w:val="000000"/>
        </w:rPr>
        <w:t>surface ozone concentration at an annual rate of 0.5 to 2 % (</w:t>
      </w:r>
      <w:proofErr w:type="spellStart"/>
      <w:r w:rsidRPr="006129EB">
        <w:rPr>
          <w:rFonts w:ascii="Times New Roman" w:hAnsi="Times New Roman"/>
          <w:color w:val="000000"/>
        </w:rPr>
        <w:t>Vingarzan</w:t>
      </w:r>
      <w:proofErr w:type="spellEnd"/>
      <w:r w:rsidRPr="006129EB">
        <w:rPr>
          <w:rFonts w:ascii="Times New Roman" w:hAnsi="Times New Roman"/>
          <w:color w:val="000000"/>
        </w:rPr>
        <w:t>, 2004). Numerous studies have shown that the elevated of ozone concentration may cause negative impacts to the plants growth (</w:t>
      </w:r>
      <w:proofErr w:type="spellStart"/>
      <w:r w:rsidRPr="006129EB">
        <w:rPr>
          <w:rFonts w:ascii="Times New Roman" w:hAnsi="Times New Roman"/>
          <w:color w:val="000000"/>
        </w:rPr>
        <w:t>Feng</w:t>
      </w:r>
      <w:proofErr w:type="spellEnd"/>
      <w:r w:rsidRPr="006129EB">
        <w:rPr>
          <w:rFonts w:ascii="Times New Roman" w:hAnsi="Times New Roman"/>
          <w:color w:val="000000"/>
        </w:rPr>
        <w:t xml:space="preserve"> and Kobayashi, 2009). Ozone is not only reduc</w:t>
      </w:r>
      <w:r>
        <w:rPr>
          <w:rFonts w:ascii="Times New Roman" w:hAnsi="Times New Roman"/>
          <w:color w:val="000000"/>
        </w:rPr>
        <w:t>ed</w:t>
      </w:r>
      <w:r w:rsidRPr="006129EB">
        <w:rPr>
          <w:rFonts w:ascii="Times New Roman" w:hAnsi="Times New Roman"/>
          <w:color w:val="000000"/>
        </w:rPr>
        <w:t xml:space="preserve"> the photosynthesis rate and</w:t>
      </w:r>
      <w:r>
        <w:rPr>
          <w:rFonts w:ascii="Times New Roman" w:hAnsi="Times New Roman"/>
          <w:color w:val="000000"/>
        </w:rPr>
        <w:t xml:space="preserve"> the</w:t>
      </w:r>
      <w:r w:rsidRPr="006129EB">
        <w:rPr>
          <w:rFonts w:ascii="Times New Roman" w:hAnsi="Times New Roman"/>
          <w:color w:val="000000"/>
        </w:rPr>
        <w:t xml:space="preserve"> whole-plants growth but it is also capable to decrease the stomatal conductance and altering the antioxidant system in the plants (</w:t>
      </w:r>
      <w:proofErr w:type="spellStart"/>
      <w:r w:rsidRPr="006129EB">
        <w:rPr>
          <w:rFonts w:ascii="Times New Roman" w:hAnsi="Times New Roman"/>
          <w:color w:val="000000"/>
        </w:rPr>
        <w:t>Ashmore</w:t>
      </w:r>
      <w:proofErr w:type="spellEnd"/>
      <w:r w:rsidRPr="006129EB">
        <w:rPr>
          <w:rFonts w:ascii="Times New Roman" w:hAnsi="Times New Roman"/>
          <w:color w:val="000000"/>
        </w:rPr>
        <w:t xml:space="preserve">, 2005, Morgan et al., 2003). According to Holland et al., (2006), almost 6.7 billion pound sterling has lost in </w:t>
      </w:r>
      <w:smartTag w:uri="urn:schemas-microsoft-com:office:smarttags" w:element="place">
        <w:r w:rsidRPr="006129EB">
          <w:rPr>
            <w:rFonts w:ascii="Times New Roman" w:hAnsi="Times New Roman"/>
            <w:color w:val="000000"/>
          </w:rPr>
          <w:t>Europe</w:t>
        </w:r>
      </w:smartTag>
      <w:r w:rsidRPr="006129EB">
        <w:rPr>
          <w:rFonts w:ascii="Times New Roman" w:hAnsi="Times New Roman"/>
          <w:color w:val="000000"/>
        </w:rPr>
        <w:t xml:space="preserve"> due to the reduction of 23 horticultural and agricultural crops in 2000. </w:t>
      </w:r>
      <w:r w:rsidRPr="006129EB">
        <w:rPr>
          <w:rFonts w:ascii="Times New Roman" w:hAnsi="Times New Roman"/>
        </w:rPr>
        <w:t xml:space="preserve">In Malaysia, Ishii et al. (2007) estimated that a 1.6-5.0% yield losses (by weight) would occur for major agricultural crops such as lettuce, French bean, lady’s finger, sweet potato, maize and rice in 2000. </w:t>
      </w:r>
    </w:p>
    <w:p w:rsidR="00D74742" w:rsidRPr="00F96BC7" w:rsidRDefault="00D74742" w:rsidP="00D74742">
      <w:pPr>
        <w:ind w:firstLine="720"/>
        <w:jc w:val="both"/>
        <w:rPr>
          <w:rFonts w:ascii="Times New Roman" w:hAnsi="Times New Roman"/>
        </w:rPr>
      </w:pPr>
      <w:r w:rsidRPr="006129EB">
        <w:rPr>
          <w:rFonts w:ascii="Times New Roman" w:hAnsi="Times New Roman"/>
        </w:rPr>
        <w:t>As one of the agricultural countr</w:t>
      </w:r>
      <w:r>
        <w:rPr>
          <w:rFonts w:ascii="Times New Roman" w:hAnsi="Times New Roman"/>
        </w:rPr>
        <w:t>ies</w:t>
      </w:r>
      <w:r w:rsidRPr="006129EB">
        <w:rPr>
          <w:rFonts w:ascii="Times New Roman" w:hAnsi="Times New Roman"/>
        </w:rPr>
        <w:t xml:space="preserve"> in Asia, threat to crops security and the economic losses due to the crops reduction has become an issue of concern now a day. Van </w:t>
      </w:r>
      <w:proofErr w:type="spellStart"/>
      <w:r w:rsidRPr="006129EB">
        <w:rPr>
          <w:rFonts w:ascii="Times New Roman" w:hAnsi="Times New Roman"/>
        </w:rPr>
        <w:t>Dingenen</w:t>
      </w:r>
      <w:proofErr w:type="spellEnd"/>
      <w:r w:rsidRPr="006129EB">
        <w:rPr>
          <w:rFonts w:ascii="Times New Roman" w:hAnsi="Times New Roman"/>
        </w:rPr>
        <w:t xml:space="preserve"> et al., (2009) reported that parts of </w:t>
      </w:r>
      <w:smartTag w:uri="urn:schemas-microsoft-com:office:smarttags" w:element="place">
        <w:r w:rsidRPr="006129EB">
          <w:rPr>
            <w:rFonts w:ascii="Times New Roman" w:hAnsi="Times New Roman"/>
          </w:rPr>
          <w:t>Asia</w:t>
        </w:r>
      </w:smartTag>
      <w:r w:rsidRPr="006129EB">
        <w:rPr>
          <w:rFonts w:ascii="Times New Roman" w:hAnsi="Times New Roman"/>
        </w:rPr>
        <w:t xml:space="preserve"> will experience further significant increase in ozone concentration by 2030. </w:t>
      </w:r>
      <w:r w:rsidRPr="006129EB">
        <w:rPr>
          <w:rFonts w:ascii="Times New Roman" w:hAnsi="Times New Roman"/>
          <w:color w:val="000000"/>
        </w:rPr>
        <w:t xml:space="preserve">In </w:t>
      </w:r>
      <w:smartTag w:uri="urn:schemas-microsoft-com:office:smarttags" w:element="place">
        <w:r w:rsidRPr="006129EB">
          <w:rPr>
            <w:rFonts w:ascii="Times New Roman" w:hAnsi="Times New Roman"/>
            <w:color w:val="000000"/>
          </w:rPr>
          <w:t>Asia</w:t>
        </w:r>
      </w:smartTag>
      <w:r w:rsidRPr="006129EB">
        <w:rPr>
          <w:rFonts w:ascii="Times New Roman" w:hAnsi="Times New Roman"/>
          <w:color w:val="000000"/>
        </w:rPr>
        <w:t xml:space="preserve">, the monthly mean of ozone concentration in the suburban and rural areas commonly exceed 50 ppb during the important agricultural growing </w:t>
      </w:r>
      <w:r w:rsidRPr="006129EB">
        <w:rPr>
          <w:rFonts w:ascii="Times New Roman" w:hAnsi="Times New Roman"/>
        </w:rPr>
        <w:t xml:space="preserve">season (EANET, 2006). In European countries, </w:t>
      </w:r>
      <w:r>
        <w:rPr>
          <w:rFonts w:ascii="Times New Roman" w:hAnsi="Times New Roman"/>
        </w:rPr>
        <w:t xml:space="preserve">an </w:t>
      </w:r>
      <w:r w:rsidRPr="006129EB">
        <w:rPr>
          <w:rFonts w:ascii="Times New Roman" w:hAnsi="Times New Roman"/>
        </w:rPr>
        <w:t>accumulated exposure over a threshold of 40 ppb (AOT40) play</w:t>
      </w:r>
      <w:r>
        <w:rPr>
          <w:rFonts w:ascii="Times New Roman" w:hAnsi="Times New Roman"/>
        </w:rPr>
        <w:t>s</w:t>
      </w:r>
      <w:r w:rsidRPr="006129EB">
        <w:rPr>
          <w:rFonts w:ascii="Times New Roman" w:hAnsi="Times New Roman"/>
        </w:rPr>
        <w:t xml:space="preserve"> an important role in evaluating the ozone impacts on the vegetation but in </w:t>
      </w:r>
      <w:smartTag w:uri="urn:schemas-microsoft-com:office:smarttags" w:element="country-region">
        <w:smartTag w:uri="urn:schemas-microsoft-com:office:smarttags" w:element="place">
          <w:r w:rsidRPr="006129EB">
            <w:rPr>
              <w:rFonts w:ascii="Times New Roman" w:hAnsi="Times New Roman"/>
            </w:rPr>
            <w:t>Malaysia</w:t>
          </w:r>
        </w:smartTag>
      </w:smartTag>
      <w:r w:rsidRPr="006129EB">
        <w:rPr>
          <w:rFonts w:ascii="Times New Roman" w:hAnsi="Times New Roman"/>
        </w:rPr>
        <w:t xml:space="preserve">, there is no any index to protect the crops from the exposure of the fluctuation of ozone. Thus, this research is carried out in order to determine the crops </w:t>
      </w:r>
      <w:r w:rsidRPr="006129EB">
        <w:rPr>
          <w:rFonts w:ascii="Times New Roman" w:hAnsi="Times New Roman"/>
        </w:rPr>
        <w:lastRenderedPageBreak/>
        <w:t xml:space="preserve">response towards ozone concentration by using nine different AOTX indices, which were AOT0, AOT5, AOT10, AOT15, AOT20, AOT25, AOT30, AOT40, and AOT50. However, it is more focusing on the AOT50 index due to the data report by EANET (2006).  </w:t>
      </w:r>
    </w:p>
    <w:p w:rsidR="00C41751" w:rsidRDefault="00C41751" w:rsidP="00D74742">
      <w:pPr>
        <w:rPr>
          <w:rFonts w:ascii="Times New Roman" w:hAnsi="Times New Roman"/>
          <w:b/>
        </w:rPr>
      </w:pPr>
    </w:p>
    <w:p w:rsidR="00D74742" w:rsidRPr="006129EB" w:rsidRDefault="00D74742" w:rsidP="00D74742">
      <w:pPr>
        <w:rPr>
          <w:rFonts w:ascii="Times New Roman" w:hAnsi="Times New Roman"/>
        </w:rPr>
      </w:pPr>
      <w:r w:rsidRPr="006129EB">
        <w:rPr>
          <w:rFonts w:ascii="Times New Roman" w:hAnsi="Times New Roman"/>
          <w:b/>
        </w:rPr>
        <w:t>2. METHOD</w:t>
      </w:r>
    </w:p>
    <w:p w:rsidR="00D74742" w:rsidRPr="006129EB" w:rsidRDefault="00D74742" w:rsidP="00D74742">
      <w:pPr>
        <w:ind w:firstLine="720"/>
        <w:jc w:val="both"/>
        <w:rPr>
          <w:rFonts w:ascii="Times New Roman" w:hAnsi="Times New Roman"/>
        </w:rPr>
      </w:pPr>
      <w:r w:rsidRPr="006129EB">
        <w:rPr>
          <w:rFonts w:ascii="Times New Roman" w:hAnsi="Times New Roman"/>
          <w:lang w:val="en-US"/>
        </w:rPr>
        <w:t>The stud</w:t>
      </w:r>
      <w:r>
        <w:rPr>
          <w:rFonts w:ascii="Times New Roman" w:hAnsi="Times New Roman"/>
          <w:lang w:val="en-US"/>
        </w:rPr>
        <w:t>ies</w:t>
      </w:r>
      <w:r w:rsidRPr="006129EB">
        <w:rPr>
          <w:rFonts w:ascii="Times New Roman" w:hAnsi="Times New Roman"/>
          <w:lang w:val="en-US"/>
        </w:rPr>
        <w:t xml:space="preserve"> to test the response of crops production towards </w:t>
      </w:r>
      <w:r w:rsidRPr="006129EB">
        <w:rPr>
          <w:rFonts w:ascii="Times New Roman" w:hAnsi="Times New Roman"/>
        </w:rPr>
        <w:t xml:space="preserve">the nine different AOTX indices, which were AOT0, AOT5, AOT10, AOT15, AOT20, AOT25, AOT30, AOT40, and </w:t>
      </w:r>
      <w:r w:rsidR="00C41751" w:rsidRPr="006129EB">
        <w:rPr>
          <w:rFonts w:ascii="Times New Roman" w:hAnsi="Times New Roman"/>
        </w:rPr>
        <w:t>AOT50,</w:t>
      </w:r>
      <w:r w:rsidRPr="006129EB">
        <w:rPr>
          <w:rFonts w:ascii="Times New Roman" w:hAnsi="Times New Roman"/>
        </w:rPr>
        <w:t xml:space="preserve"> were based on the monitoring data of hourly ozone concentration and meteorological parameters like wind speed, humidity, </w:t>
      </w:r>
      <w:r>
        <w:rPr>
          <w:rFonts w:ascii="Times New Roman" w:hAnsi="Times New Roman"/>
        </w:rPr>
        <w:t>nitrogen dioxides (</w:t>
      </w:r>
      <w:r w:rsidRPr="006129EB">
        <w:rPr>
          <w:rFonts w:ascii="Times New Roman" w:hAnsi="Times New Roman"/>
        </w:rPr>
        <w:t>NO</w:t>
      </w:r>
      <w:r w:rsidRPr="006129EB">
        <w:rPr>
          <w:rFonts w:ascii="Times New Roman" w:hAnsi="Times New Roman"/>
          <w:vertAlign w:val="subscript"/>
        </w:rPr>
        <w:t>2</w:t>
      </w:r>
      <w:r>
        <w:rPr>
          <w:rFonts w:ascii="Times New Roman" w:hAnsi="Times New Roman"/>
        </w:rPr>
        <w:t>),</w:t>
      </w:r>
      <w:r w:rsidRPr="006129EB">
        <w:rPr>
          <w:rFonts w:ascii="Times New Roman" w:hAnsi="Times New Roman"/>
        </w:rPr>
        <w:t xml:space="preserve"> UVB, and temperature in </w:t>
      </w:r>
      <w:proofErr w:type="spellStart"/>
      <w:r w:rsidRPr="006129EB">
        <w:rPr>
          <w:rFonts w:ascii="Times New Roman" w:hAnsi="Times New Roman"/>
        </w:rPr>
        <w:t>Nilai</w:t>
      </w:r>
      <w:proofErr w:type="spellEnd"/>
      <w:r w:rsidRPr="006129EB">
        <w:rPr>
          <w:rFonts w:ascii="Times New Roman" w:hAnsi="Times New Roman"/>
        </w:rPr>
        <w:t xml:space="preserve">, </w:t>
      </w:r>
      <w:proofErr w:type="spellStart"/>
      <w:r w:rsidRPr="006129EB">
        <w:rPr>
          <w:rFonts w:ascii="Times New Roman" w:hAnsi="Times New Roman"/>
        </w:rPr>
        <w:t>Negeri</w:t>
      </w:r>
      <w:proofErr w:type="spellEnd"/>
      <w:r w:rsidRPr="006129EB">
        <w:rPr>
          <w:rFonts w:ascii="Times New Roman" w:hAnsi="Times New Roman"/>
        </w:rPr>
        <w:t xml:space="preserve"> Sembilan. These data was obtained from the Department of Environment (DoE), </w:t>
      </w:r>
      <w:smartTag w:uri="urn:schemas-microsoft-com:office:smarttags" w:element="country-region">
        <w:smartTag w:uri="urn:schemas-microsoft-com:office:smarttags" w:element="place">
          <w:r w:rsidRPr="006129EB">
            <w:rPr>
              <w:rFonts w:ascii="Times New Roman" w:hAnsi="Times New Roman"/>
            </w:rPr>
            <w:t>Malaysia</w:t>
          </w:r>
        </w:smartTag>
      </w:smartTag>
      <w:r w:rsidRPr="006129EB">
        <w:rPr>
          <w:rFonts w:ascii="Times New Roman" w:hAnsi="Times New Roman"/>
        </w:rPr>
        <w:t xml:space="preserve">. </w:t>
      </w:r>
    </w:p>
    <w:p w:rsidR="00D74742" w:rsidRPr="006129EB" w:rsidRDefault="00D74742" w:rsidP="00D74742">
      <w:pPr>
        <w:ind w:firstLine="720"/>
        <w:jc w:val="both"/>
        <w:rPr>
          <w:rFonts w:ascii="Times New Roman" w:hAnsi="Times New Roman"/>
        </w:rPr>
      </w:pPr>
      <w:r w:rsidRPr="006129EB">
        <w:rPr>
          <w:rFonts w:ascii="Times New Roman" w:hAnsi="Times New Roman"/>
        </w:rPr>
        <w:t>The estimation of the percentage of crops response towards the AOTX indices</w:t>
      </w:r>
      <w:r w:rsidRPr="006129EB">
        <w:rPr>
          <w:rFonts w:ascii="Times New Roman" w:hAnsi="Times New Roman"/>
          <w:lang w:val="en-US"/>
        </w:rPr>
        <w:t xml:space="preserve"> due to the ozone exposure for 2004 is using the equation below: </w:t>
      </w:r>
    </w:p>
    <w:p w:rsidR="00D74742" w:rsidRPr="006129EB" w:rsidRDefault="00D74742" w:rsidP="00D74742">
      <w:pPr>
        <w:jc w:val="both"/>
        <w:rPr>
          <w:rFonts w:ascii="Times New Roman" w:hAnsi="Times New Roman"/>
        </w:rPr>
      </w:pPr>
      <w:r w:rsidRPr="006129EB">
        <w:rPr>
          <w:rFonts w:ascii="Times New Roman" w:hAnsi="Times New Roman"/>
        </w:rPr>
        <w:t xml:space="preserve">Percentage of crops response (%) =   </w:t>
      </w:r>
      <m:oMath>
        <m:f>
          <m:fPr>
            <m:ctrlPr>
              <w:rPr>
                <w:rFonts w:ascii="Cambria Math" w:hAnsi="Times New Roman"/>
                <w:i/>
              </w:rPr>
            </m:ctrlPr>
          </m:fPr>
          <m:num>
            <m:sSub>
              <m:sSubPr>
                <m:ctrlPr>
                  <w:rPr>
                    <w:rFonts w:ascii="Cambria Math" w:hAnsi="Times New Roman"/>
                    <w:i/>
                  </w:rPr>
                </m:ctrlPr>
              </m:sSubPr>
              <m:e>
                <m:r>
                  <w:rPr>
                    <w:rFonts w:ascii="Cambria Math" w:hAnsi="Cambria Math"/>
                  </w:rPr>
                  <m:t>AOTX</m:t>
                </m:r>
              </m:e>
              <m:sub>
                <m:d>
                  <m:dPr>
                    <m:ctrlPr>
                      <w:rPr>
                        <w:rFonts w:ascii="Cambria Math" w:hAnsi="Times New Roman"/>
                        <w:i/>
                      </w:rPr>
                    </m:ctrlPr>
                  </m:dPr>
                  <m:e>
                    <m:r>
                      <w:rPr>
                        <w:rFonts w:ascii="Cambria Math" w:hAnsi="Cambria Math"/>
                      </w:rPr>
                      <m:t>Y</m:t>
                    </m:r>
                  </m:e>
                </m:d>
              </m:sub>
            </m:sSub>
          </m:num>
          <m:den>
            <m:r>
              <m:rPr>
                <m:sty m:val="p"/>
              </m:rPr>
              <w:rPr>
                <w:rFonts w:ascii="Times New Roman" w:hAnsi="Times New Roman"/>
              </w:rPr>
              <m:t>Σ</m:t>
            </m:r>
            <m:sSub>
              <m:sSubPr>
                <m:ctrlPr>
                  <w:rPr>
                    <w:rFonts w:ascii="Cambria Math" w:hAnsi="Times New Roman"/>
                    <w:i/>
                  </w:rPr>
                </m:ctrlPr>
              </m:sSubPr>
              <m:e>
                <m:r>
                  <w:rPr>
                    <w:rFonts w:ascii="Cambria Math" w:hAnsi="Cambria Math"/>
                  </w:rPr>
                  <m:t>Ozone</m:t>
                </m:r>
                <m:r>
                  <w:rPr>
                    <w:rFonts w:ascii="Cambria Math" w:hAnsi="Times New Roman"/>
                  </w:rPr>
                  <m:t xml:space="preserve"> </m:t>
                </m:r>
                <m:r>
                  <w:rPr>
                    <w:rFonts w:ascii="Cambria Math" w:hAnsi="Cambria Math"/>
                  </w:rPr>
                  <m:t>concentration</m:t>
                </m:r>
                <m:r>
                  <w:rPr>
                    <w:rFonts w:ascii="Cambria Math" w:hAnsi="Times New Roman"/>
                  </w:rPr>
                  <m:t xml:space="preserve"> </m:t>
                </m:r>
              </m:e>
              <m:sub>
                <m:d>
                  <m:dPr>
                    <m:ctrlPr>
                      <w:rPr>
                        <w:rFonts w:ascii="Cambria Math" w:hAnsi="Times New Roman"/>
                        <w:i/>
                      </w:rPr>
                    </m:ctrlPr>
                  </m:dPr>
                  <m:e>
                    <m:r>
                      <w:rPr>
                        <w:rFonts w:ascii="Cambria Math" w:hAnsi="Cambria Math"/>
                      </w:rPr>
                      <m:t>y</m:t>
                    </m:r>
                  </m:e>
                </m:d>
              </m:sub>
            </m:sSub>
            <m:r>
              <w:rPr>
                <w:rFonts w:ascii="Cambria Math" w:hAnsi="Times New Roman"/>
              </w:rPr>
              <m:t xml:space="preserve">  </m:t>
            </m:r>
          </m:den>
        </m:f>
        <m:r>
          <w:rPr>
            <w:rFonts w:ascii="Cambria Math" w:hAnsi="Times New Roman"/>
          </w:rPr>
          <m:t xml:space="preserve"> </m:t>
        </m:r>
        <m:r>
          <w:rPr>
            <w:rFonts w:ascii="Times New Roman" w:hAnsi="Times New Roman"/>
          </w:rPr>
          <m:t>×</m:t>
        </m:r>
        <m:r>
          <w:rPr>
            <w:rFonts w:ascii="Cambria Math" w:hAnsi="Cambria Math"/>
          </w:rPr>
          <m:t>Crops</m:t>
        </m:r>
        <m:r>
          <w:rPr>
            <w:rFonts w:ascii="Cambria Math" w:hAnsi="Times New Roman"/>
          </w:rPr>
          <m:t xml:space="preserve"> </m:t>
        </m:r>
        <m:r>
          <w:rPr>
            <w:rFonts w:ascii="Cambria Math" w:hAnsi="Cambria Math"/>
          </w:rPr>
          <m:t>production</m:t>
        </m:r>
      </m:oMath>
    </w:p>
    <w:p w:rsidR="00D74742" w:rsidRPr="006129EB" w:rsidRDefault="00D74742" w:rsidP="00D74742">
      <w:pPr>
        <w:jc w:val="both"/>
        <w:rPr>
          <w:rFonts w:ascii="Times New Roman" w:hAnsi="Times New Roman"/>
        </w:rPr>
      </w:pPr>
      <w:r w:rsidRPr="006129EB">
        <w:rPr>
          <w:rFonts w:ascii="Times New Roman" w:hAnsi="Times New Roman"/>
        </w:rPr>
        <w:t xml:space="preserve">Where, </w:t>
      </w:r>
      <w:r w:rsidRPr="006129EB">
        <w:rPr>
          <w:rFonts w:ascii="Times New Roman" w:hAnsi="Times New Roman"/>
          <w:i/>
        </w:rPr>
        <w:t>X</w:t>
      </w:r>
      <w:r w:rsidRPr="006129EB">
        <w:rPr>
          <w:rFonts w:ascii="Times New Roman" w:hAnsi="Times New Roman"/>
        </w:rPr>
        <w:t xml:space="preserve"> is the index of AOT and </w:t>
      </w:r>
      <w:r w:rsidRPr="006129EB">
        <w:rPr>
          <w:rFonts w:ascii="Times New Roman" w:hAnsi="Times New Roman"/>
          <w:i/>
        </w:rPr>
        <w:t xml:space="preserve">y </w:t>
      </w:r>
      <w:r w:rsidRPr="006129EB">
        <w:rPr>
          <w:rFonts w:ascii="Times New Roman" w:hAnsi="Times New Roman"/>
        </w:rPr>
        <w:t xml:space="preserve">is the year of the collected data. </w:t>
      </w:r>
    </w:p>
    <w:p w:rsidR="00D74742" w:rsidRPr="006129EB" w:rsidRDefault="00D74742" w:rsidP="00D74742">
      <w:pPr>
        <w:ind w:firstLine="720"/>
        <w:jc w:val="both"/>
        <w:rPr>
          <w:rFonts w:ascii="Times New Roman" w:hAnsi="Times New Roman"/>
        </w:rPr>
      </w:pPr>
      <w:r w:rsidRPr="006129EB">
        <w:rPr>
          <w:rFonts w:ascii="Times New Roman" w:hAnsi="Times New Roman"/>
        </w:rPr>
        <w:t>The response of crops towards</w:t>
      </w:r>
      <w:r>
        <w:rPr>
          <w:rFonts w:ascii="Times New Roman" w:hAnsi="Times New Roman"/>
        </w:rPr>
        <w:t xml:space="preserve"> the</w:t>
      </w:r>
      <w:r w:rsidRPr="006129EB">
        <w:rPr>
          <w:rFonts w:ascii="Times New Roman" w:hAnsi="Times New Roman"/>
        </w:rPr>
        <w:t xml:space="preserve"> AOTX indices was conducted by using Microsoft Office Excel 2007. Data were then analyzed by using SPSS (Statistical Package for the Social Science) software Version 11.5.</w:t>
      </w:r>
    </w:p>
    <w:p w:rsidR="00D74742" w:rsidRPr="006129EB" w:rsidRDefault="00D74742" w:rsidP="00D74742">
      <w:pPr>
        <w:ind w:firstLine="720"/>
        <w:jc w:val="both"/>
        <w:rPr>
          <w:rFonts w:ascii="Times New Roman" w:hAnsi="Times New Roman"/>
        </w:rPr>
      </w:pPr>
    </w:p>
    <w:p w:rsidR="00D74742" w:rsidRPr="006129EB" w:rsidRDefault="00D74742" w:rsidP="00D74742">
      <w:pPr>
        <w:rPr>
          <w:rFonts w:ascii="Times New Roman" w:hAnsi="Times New Roman"/>
          <w:b/>
        </w:rPr>
      </w:pPr>
      <w:r w:rsidRPr="006129EB">
        <w:rPr>
          <w:rFonts w:ascii="Times New Roman" w:hAnsi="Times New Roman"/>
          <w:b/>
        </w:rPr>
        <w:t>3. RESULTS AND DISCUSSION</w:t>
      </w:r>
    </w:p>
    <w:p w:rsidR="00D74742" w:rsidRDefault="00D74742" w:rsidP="00D74742">
      <w:pPr>
        <w:ind w:firstLine="720"/>
        <w:jc w:val="both"/>
        <w:rPr>
          <w:rFonts w:ascii="Times New Roman" w:hAnsi="Times New Roman"/>
          <w:snapToGrid w:val="0"/>
          <w:color w:val="000000"/>
          <w:w w:val="0"/>
          <w:sz w:val="2"/>
          <w:u w:color="000000"/>
          <w:bdr w:val="none" w:sz="0" w:space="0" w:color="000000"/>
          <w:shd w:val="clear" w:color="000000" w:fill="000000"/>
          <w:lang w:val="en-US"/>
        </w:rPr>
      </w:pPr>
      <w:r w:rsidRPr="006129EB">
        <w:rPr>
          <w:rFonts w:ascii="Times New Roman" w:hAnsi="Times New Roman"/>
        </w:rPr>
        <w:t xml:space="preserve">The relationship between the nine AOT indices, AOT0, AOT5, AOT10, AOT15, AOT20, AOT25, AOT30, AOT40, and AOT50 and the response of crops towards the ozone concentration in </w:t>
      </w:r>
      <w:proofErr w:type="spellStart"/>
      <w:r w:rsidRPr="006129EB">
        <w:rPr>
          <w:rFonts w:ascii="Times New Roman" w:hAnsi="Times New Roman"/>
        </w:rPr>
        <w:t>Negeri</w:t>
      </w:r>
      <w:proofErr w:type="spellEnd"/>
      <w:r w:rsidRPr="006129EB">
        <w:rPr>
          <w:rFonts w:ascii="Times New Roman" w:hAnsi="Times New Roman"/>
        </w:rPr>
        <w:t xml:space="preserve"> Sembilan, Malaysia  for 2004 was shown in Figure 3.1(a), (b), (c), (d) .</w:t>
      </w:r>
      <w:r w:rsidRPr="00CA1CE1">
        <w:rPr>
          <w:rFonts w:ascii="Times New Roman" w:hAnsi="Times New Roman"/>
          <w:snapToGrid w:val="0"/>
          <w:color w:val="000000"/>
          <w:w w:val="0"/>
          <w:sz w:val="2"/>
          <w:u w:color="000000"/>
          <w:bdr w:val="none" w:sz="0" w:space="0" w:color="000000"/>
          <w:shd w:val="clear" w:color="000000" w:fill="000000"/>
        </w:rPr>
        <w:t xml:space="preserve"> </w:t>
      </w:r>
    </w:p>
    <w:p w:rsidR="00D74742" w:rsidRDefault="00D74742" w:rsidP="00D74742">
      <w:pPr>
        <w:ind w:firstLine="720"/>
        <w:rPr>
          <w:rFonts w:ascii="Times New Roman" w:hAnsi="Times New Roman"/>
          <w:snapToGrid w:val="0"/>
          <w:color w:val="000000"/>
          <w:w w:val="0"/>
          <w:sz w:val="2"/>
          <w:u w:color="000000"/>
          <w:bdr w:val="none" w:sz="0" w:space="0" w:color="000000"/>
          <w:shd w:val="clear" w:color="000000" w:fill="000000"/>
          <w:lang w:val="en-US"/>
        </w:rPr>
      </w:pPr>
    </w:p>
    <w:p w:rsidR="00D74742" w:rsidRPr="006129EB" w:rsidRDefault="00D74742" w:rsidP="00D74742">
      <w:pPr>
        <w:rPr>
          <w:rFonts w:ascii="Times New Roman" w:hAnsi="Times New Roman"/>
        </w:rPr>
      </w:pPr>
      <w:r>
        <w:rPr>
          <w:rFonts w:ascii="Times New Roman" w:hAnsi="Times New Roman"/>
          <w:noProof/>
          <w:lang w:eastAsia="en-MY"/>
        </w:rPr>
        <w:drawing>
          <wp:inline distT="0" distB="0" distL="0" distR="0">
            <wp:extent cx="5654361" cy="3065069"/>
            <wp:effectExtent l="19050" t="0" r="3489"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54675" cy="3065239"/>
                    </a:xfrm>
                    <a:prstGeom prst="rect">
                      <a:avLst/>
                    </a:prstGeom>
                    <a:noFill/>
                    <a:ln w="9525">
                      <a:noFill/>
                      <a:miter lim="800000"/>
                      <a:headEnd/>
                      <a:tailEnd/>
                    </a:ln>
                  </pic:spPr>
                </pic:pic>
              </a:graphicData>
            </a:graphic>
          </wp:inline>
        </w:drawing>
      </w:r>
    </w:p>
    <w:p w:rsidR="00D74742" w:rsidRPr="006129EB" w:rsidRDefault="00F53C65" w:rsidP="00D74742">
      <w:pPr>
        <w:rPr>
          <w:rFonts w:ascii="Times New Roman" w:hAnsi="Times New Roman"/>
        </w:rPr>
      </w:pPr>
      <w:r w:rsidRPr="00F53C65">
        <w:rPr>
          <w:noProof/>
          <w:lang w:val="en-US"/>
        </w:rPr>
        <w:lastRenderedPageBreak/>
        <w:pict>
          <v:shapetype id="_x0000_t4" coordsize="21600,21600" o:spt="4" path="m10800,l,10800,10800,21600,21600,10800xe">
            <v:stroke joinstyle="miter"/>
            <v:path gradientshapeok="t" o:connecttype="rect" textboxrect="5400,5400,16200,16200"/>
          </v:shapetype>
          <v:shape id="_x0000_s1029" type="#_x0000_t4" style="position:absolute;margin-left:42.05pt;margin-top:3.6pt;width:8.8pt;height:8.8pt;z-index:251660288" fillcolor="black"/>
        </w:pict>
      </w:r>
      <w:r w:rsidR="00D74742" w:rsidRPr="006129EB">
        <w:rPr>
          <w:rFonts w:ascii="Times New Roman" w:hAnsi="Times New Roman"/>
        </w:rPr>
        <w:t>*</w:t>
      </w:r>
      <w:r w:rsidR="00D74742" w:rsidRPr="006129EB">
        <w:rPr>
          <w:rFonts w:ascii="Times New Roman" w:hAnsi="Times New Roman"/>
        </w:rPr>
        <w:tab/>
        <w:t xml:space="preserve">       AOT40 is the AOTX index which was recommended for crops in </w:t>
      </w:r>
      <w:smartTag w:uri="urn:schemas-microsoft-com:office:smarttags" w:element="country-region">
        <w:smartTag w:uri="urn:schemas-microsoft-com:office:smarttags" w:element="place">
          <w:r w:rsidR="00D74742" w:rsidRPr="006129EB">
            <w:rPr>
              <w:rFonts w:ascii="Times New Roman" w:hAnsi="Times New Roman"/>
            </w:rPr>
            <w:t>Europe</w:t>
          </w:r>
        </w:smartTag>
      </w:smartTag>
    </w:p>
    <w:p w:rsidR="00D74742" w:rsidRPr="006129EB" w:rsidRDefault="00D74742" w:rsidP="00D74742">
      <w:pPr>
        <w:jc w:val="center"/>
        <w:rPr>
          <w:rFonts w:ascii="Times New Roman" w:hAnsi="Times New Roman"/>
          <w:b/>
        </w:rPr>
      </w:pPr>
      <w:r w:rsidRPr="006129EB">
        <w:rPr>
          <w:rFonts w:ascii="Times New Roman" w:hAnsi="Times New Roman"/>
          <w:b/>
        </w:rPr>
        <w:t>Figure 3.1</w:t>
      </w:r>
      <w:r w:rsidRPr="006129EB">
        <w:rPr>
          <w:rFonts w:ascii="Times New Roman" w:hAnsi="Times New Roman"/>
        </w:rPr>
        <w:t xml:space="preserve">(a): January to March, (b): April to June, (c): July to September, (d): October to December: Relationship between AOTX and crops response </w:t>
      </w:r>
      <w:proofErr w:type="spellStart"/>
      <w:r w:rsidRPr="006129EB">
        <w:rPr>
          <w:rFonts w:ascii="Times New Roman" w:hAnsi="Times New Roman"/>
        </w:rPr>
        <w:t>Negeri</w:t>
      </w:r>
      <w:proofErr w:type="spellEnd"/>
      <w:r w:rsidRPr="006129EB">
        <w:rPr>
          <w:rFonts w:ascii="Times New Roman" w:hAnsi="Times New Roman"/>
        </w:rPr>
        <w:t xml:space="preserve"> Sembilan in 2004</w:t>
      </w:r>
    </w:p>
    <w:p w:rsidR="00D74742" w:rsidRPr="006129EB" w:rsidRDefault="00D74742" w:rsidP="00D74742">
      <w:pPr>
        <w:ind w:firstLine="720"/>
        <w:jc w:val="both"/>
        <w:rPr>
          <w:rFonts w:ascii="Times New Roman" w:hAnsi="Times New Roman"/>
        </w:rPr>
      </w:pPr>
      <w:r w:rsidRPr="006129EB">
        <w:rPr>
          <w:rFonts w:ascii="Times New Roman" w:hAnsi="Times New Roman"/>
        </w:rPr>
        <w:t xml:space="preserve">From Figure 3.1(a), the highest percentage of the crops response towards the ozone exposure was the best with AOT50 index with 8.70 % in January to March, 2004.  This percentage was followed by AOT0 with 8.46 % while AOT25 gave the least percentage with 7.66 %. AOT40 </w:t>
      </w:r>
      <w:r>
        <w:rPr>
          <w:rFonts w:ascii="Times New Roman" w:hAnsi="Times New Roman"/>
        </w:rPr>
        <w:t xml:space="preserve">index, which was recommended for </w:t>
      </w:r>
      <w:r w:rsidRPr="006129EB">
        <w:rPr>
          <w:rFonts w:ascii="Times New Roman" w:hAnsi="Times New Roman"/>
        </w:rPr>
        <w:t>the crops in Europe,</w:t>
      </w:r>
      <w:r>
        <w:rPr>
          <w:rFonts w:ascii="Times New Roman" w:hAnsi="Times New Roman"/>
        </w:rPr>
        <w:t xml:space="preserve"> showed </w:t>
      </w:r>
      <w:r w:rsidRPr="006129EB">
        <w:rPr>
          <w:rFonts w:ascii="Times New Roman" w:hAnsi="Times New Roman"/>
        </w:rPr>
        <w:t xml:space="preserve">the percentage of response of 8.33%. </w:t>
      </w:r>
    </w:p>
    <w:p w:rsidR="00D74742" w:rsidRPr="006129EB" w:rsidRDefault="00D74742" w:rsidP="00D74742">
      <w:pPr>
        <w:ind w:firstLine="720"/>
        <w:jc w:val="both"/>
        <w:rPr>
          <w:rFonts w:ascii="Times New Roman" w:hAnsi="Times New Roman"/>
        </w:rPr>
      </w:pPr>
      <w:r w:rsidRPr="006129EB">
        <w:rPr>
          <w:rFonts w:ascii="Times New Roman" w:hAnsi="Times New Roman"/>
        </w:rPr>
        <w:t xml:space="preserve">In Figure 3.1 (b), AOT50 recorded the highest percentage of the crops response towards the ozone exposure with 13.80 % from April to June 2004, followed by AOT40 with 13.48 %. AOT0 (control index) which produced the </w:t>
      </w:r>
      <w:r>
        <w:rPr>
          <w:rFonts w:ascii="Times New Roman" w:hAnsi="Times New Roman"/>
        </w:rPr>
        <w:t xml:space="preserve">second </w:t>
      </w:r>
      <w:r w:rsidRPr="006129EB">
        <w:rPr>
          <w:rFonts w:ascii="Times New Roman" w:hAnsi="Times New Roman"/>
        </w:rPr>
        <w:t>highest percentage from January to March, 2004 however showed the smallest percentage of crops response towards the ozone exposure during these months with 10.</w:t>
      </w:r>
      <w:r w:rsidRPr="001D62EB">
        <w:rPr>
          <w:rFonts w:ascii="Times New Roman" w:hAnsi="Times New Roman"/>
        </w:rPr>
        <w:t>68%. In contrast, this value</w:t>
      </w:r>
      <w:r w:rsidRPr="006129EB">
        <w:rPr>
          <w:rFonts w:ascii="Times New Roman" w:hAnsi="Times New Roman"/>
        </w:rPr>
        <w:t xml:space="preserve"> is considered </w:t>
      </w:r>
      <w:r>
        <w:rPr>
          <w:rFonts w:ascii="Times New Roman" w:hAnsi="Times New Roman"/>
        </w:rPr>
        <w:t>high</w:t>
      </w:r>
      <w:r w:rsidRPr="006129EB">
        <w:rPr>
          <w:rFonts w:ascii="Times New Roman" w:hAnsi="Times New Roman"/>
        </w:rPr>
        <w:t xml:space="preserve"> as compared to the </w:t>
      </w:r>
      <w:r>
        <w:rPr>
          <w:rFonts w:ascii="Times New Roman" w:hAnsi="Times New Roman"/>
        </w:rPr>
        <w:t xml:space="preserve">previous three-month period. </w:t>
      </w:r>
    </w:p>
    <w:p w:rsidR="00D74742" w:rsidRPr="006129EB" w:rsidRDefault="00D74742" w:rsidP="00D74742">
      <w:pPr>
        <w:ind w:firstLine="720"/>
        <w:jc w:val="both"/>
        <w:rPr>
          <w:rFonts w:ascii="Times New Roman" w:hAnsi="Times New Roman"/>
        </w:rPr>
      </w:pPr>
      <w:r w:rsidRPr="006129EB">
        <w:rPr>
          <w:rFonts w:ascii="Times New Roman" w:hAnsi="Times New Roman"/>
        </w:rPr>
        <w:t>The percentage of the crops response towards the ozone exposure was highest with AOT0 index, followed by AOT5 by 0.12 % from July to September 2004 [Figure 3.1 (c)]. AOT50 was the least index in response to the crops with 3.54%.</w:t>
      </w:r>
    </w:p>
    <w:p w:rsidR="00D74742" w:rsidRDefault="00D74742" w:rsidP="00D74742">
      <w:pPr>
        <w:ind w:firstLine="720"/>
        <w:jc w:val="both"/>
        <w:rPr>
          <w:rFonts w:ascii="Times New Roman" w:hAnsi="Times New Roman"/>
        </w:rPr>
      </w:pPr>
      <w:r w:rsidRPr="006129EB">
        <w:rPr>
          <w:rFonts w:ascii="Times New Roman" w:hAnsi="Times New Roman"/>
        </w:rPr>
        <w:t>AOT0 (control index) recorded the utmost percentage in the crops response towards the ozone exposure with 7.18% in Figure 3.1 (d). However, this value is considered small as compared to</w:t>
      </w:r>
      <w:r>
        <w:rPr>
          <w:rFonts w:ascii="Times New Roman" w:hAnsi="Times New Roman"/>
        </w:rPr>
        <w:t xml:space="preserve"> the April-June period </w:t>
      </w:r>
      <w:r w:rsidRPr="006129EB">
        <w:rPr>
          <w:rFonts w:ascii="Times New Roman" w:hAnsi="Times New Roman"/>
        </w:rPr>
        <w:t>in</w:t>
      </w:r>
      <w:r>
        <w:rPr>
          <w:rFonts w:ascii="Times New Roman" w:hAnsi="Times New Roman"/>
        </w:rPr>
        <w:t xml:space="preserve"> </w:t>
      </w:r>
      <w:r w:rsidRPr="006129EB">
        <w:rPr>
          <w:rFonts w:ascii="Times New Roman" w:hAnsi="Times New Roman"/>
        </w:rPr>
        <w:t xml:space="preserve">2004. AOT40 which was recommended by </w:t>
      </w:r>
      <w:r>
        <w:rPr>
          <w:rFonts w:ascii="Times New Roman" w:hAnsi="Times New Roman"/>
        </w:rPr>
        <w:t xml:space="preserve">the </w:t>
      </w:r>
      <w:r w:rsidRPr="006129EB">
        <w:rPr>
          <w:rFonts w:ascii="Times New Roman" w:hAnsi="Times New Roman"/>
        </w:rPr>
        <w:t xml:space="preserve">European countries as the critical index for the crops gave the second least percentage of the crops response towards ozone with 5.03% followed by AOT50 index with only 4.55 %. </w:t>
      </w:r>
    </w:p>
    <w:p w:rsidR="00D74742" w:rsidRPr="006129EB" w:rsidRDefault="00D74742" w:rsidP="00D74742">
      <w:pPr>
        <w:ind w:firstLine="720"/>
        <w:jc w:val="both"/>
        <w:rPr>
          <w:rFonts w:ascii="Times New Roman" w:hAnsi="Times New Roman"/>
        </w:rPr>
      </w:pPr>
      <w:r>
        <w:rPr>
          <w:rFonts w:ascii="Times New Roman" w:hAnsi="Times New Roman"/>
        </w:rPr>
        <w:t xml:space="preserve">Results from Figure 3.1 demonstrate that AOT0 and AOT50 gave the highest crops response towards daylight ozone concentration throughout 2004. In this study, AOT0 was considered to be the control index as many studies have </w:t>
      </w:r>
      <w:r w:rsidRPr="000F0BD3">
        <w:rPr>
          <w:rFonts w:ascii="Times New Roman" w:hAnsi="Times New Roman"/>
        </w:rPr>
        <w:t>reported that ozone has a lot of potential to give adverse impacts on plants (</w:t>
      </w:r>
      <w:proofErr w:type="spellStart"/>
      <w:r>
        <w:rPr>
          <w:rFonts w:ascii="Times New Roman" w:hAnsi="Times New Roman"/>
        </w:rPr>
        <w:t>Pleijal</w:t>
      </w:r>
      <w:proofErr w:type="spellEnd"/>
      <w:r>
        <w:rPr>
          <w:rFonts w:ascii="Times New Roman" w:hAnsi="Times New Roman"/>
        </w:rPr>
        <w:t xml:space="preserve"> et al., 1998). Therefore, AOT50 can be considered as the most critical AOTX index in </w:t>
      </w:r>
      <w:proofErr w:type="spellStart"/>
      <w:r>
        <w:rPr>
          <w:rFonts w:ascii="Times New Roman" w:hAnsi="Times New Roman"/>
        </w:rPr>
        <w:t>Negeri</w:t>
      </w:r>
      <w:proofErr w:type="spellEnd"/>
      <w:r>
        <w:rPr>
          <w:rFonts w:ascii="Times New Roman" w:hAnsi="Times New Roman"/>
        </w:rPr>
        <w:t xml:space="preserve"> Sembilan. </w:t>
      </w:r>
    </w:p>
    <w:p w:rsidR="00D74742" w:rsidRPr="006129EB" w:rsidRDefault="00D74742" w:rsidP="00D74742">
      <w:pPr>
        <w:ind w:firstLine="720"/>
        <w:jc w:val="both"/>
        <w:rPr>
          <w:rFonts w:ascii="Times New Roman" w:hAnsi="Times New Roman"/>
        </w:rPr>
      </w:pPr>
      <w:r>
        <w:rPr>
          <w:rFonts w:ascii="Times New Roman" w:hAnsi="Times New Roman"/>
        </w:rPr>
        <w:t xml:space="preserve">Table 3.1 shows the model summary between the daylight (7 am to 7 pm) ozone concentration and its precursor such as </w:t>
      </w:r>
      <w:r w:rsidRPr="006129EB">
        <w:rPr>
          <w:rFonts w:ascii="Times New Roman" w:hAnsi="Times New Roman"/>
        </w:rPr>
        <w:t>NO</w:t>
      </w:r>
      <w:r w:rsidRPr="006129EB">
        <w:rPr>
          <w:rFonts w:ascii="Times New Roman" w:hAnsi="Times New Roman"/>
          <w:vertAlign w:val="subscript"/>
        </w:rPr>
        <w:t>2</w:t>
      </w:r>
      <w:r w:rsidRPr="006129EB">
        <w:rPr>
          <w:rFonts w:ascii="Times New Roman" w:hAnsi="Times New Roman"/>
        </w:rPr>
        <w:t>, UVB</w:t>
      </w:r>
      <w:r>
        <w:rPr>
          <w:rFonts w:ascii="Times New Roman" w:hAnsi="Times New Roman"/>
        </w:rPr>
        <w:t>, t</w:t>
      </w:r>
      <w:r w:rsidRPr="006129EB">
        <w:rPr>
          <w:rFonts w:ascii="Times New Roman" w:hAnsi="Times New Roman"/>
        </w:rPr>
        <w:t>emperature</w:t>
      </w:r>
      <w:r>
        <w:rPr>
          <w:rFonts w:ascii="Times New Roman" w:hAnsi="Times New Roman"/>
        </w:rPr>
        <w:t xml:space="preserve">, </w:t>
      </w:r>
      <w:r w:rsidRPr="006129EB">
        <w:rPr>
          <w:rFonts w:ascii="Times New Roman" w:hAnsi="Times New Roman"/>
        </w:rPr>
        <w:t xml:space="preserve">wind speed, </w:t>
      </w:r>
      <w:r>
        <w:rPr>
          <w:rFonts w:ascii="Times New Roman" w:hAnsi="Times New Roman"/>
        </w:rPr>
        <w:t xml:space="preserve">and </w:t>
      </w:r>
      <w:r w:rsidRPr="006129EB">
        <w:rPr>
          <w:rFonts w:ascii="Times New Roman" w:hAnsi="Times New Roman"/>
        </w:rPr>
        <w:t>humidity</w:t>
      </w:r>
      <w:r>
        <w:rPr>
          <w:rFonts w:ascii="Times New Roman" w:hAnsi="Times New Roman"/>
        </w:rPr>
        <w:t xml:space="preserve"> for four different three-month period in 2004 while Table 3.2 shows the model summary between AOT50 index and ozone concentration at the same time period. </w:t>
      </w:r>
    </w:p>
    <w:p w:rsidR="00D74742" w:rsidRPr="006129EB" w:rsidRDefault="00D74742" w:rsidP="00A3467C">
      <w:pPr>
        <w:jc w:val="center"/>
        <w:rPr>
          <w:rFonts w:ascii="Times New Roman" w:hAnsi="Times New Roman"/>
          <w:b/>
        </w:rPr>
      </w:pPr>
      <w:r w:rsidRPr="006129EB">
        <w:rPr>
          <w:rFonts w:ascii="Times New Roman" w:hAnsi="Times New Roman"/>
          <w:b/>
        </w:rPr>
        <w:t xml:space="preserve">Table 3.1: Model summary of ozone for </w:t>
      </w:r>
      <w:proofErr w:type="spellStart"/>
      <w:r w:rsidRPr="006129EB">
        <w:rPr>
          <w:rFonts w:ascii="Times New Roman" w:hAnsi="Times New Roman"/>
          <w:b/>
        </w:rPr>
        <w:t>Nilai</w:t>
      </w:r>
      <w:proofErr w:type="spellEnd"/>
      <w:r w:rsidRPr="006129EB">
        <w:rPr>
          <w:rFonts w:ascii="Times New Roman" w:hAnsi="Times New Roman"/>
          <w:b/>
        </w:rPr>
        <w:t xml:space="preserve">, </w:t>
      </w:r>
      <w:proofErr w:type="spellStart"/>
      <w:r w:rsidRPr="006129EB">
        <w:rPr>
          <w:rFonts w:ascii="Times New Roman" w:hAnsi="Times New Roman"/>
          <w:b/>
        </w:rPr>
        <w:t>Negeri</w:t>
      </w:r>
      <w:proofErr w:type="spellEnd"/>
      <w:r w:rsidRPr="006129EB">
        <w:rPr>
          <w:rFonts w:ascii="Times New Roman" w:hAnsi="Times New Roman"/>
          <w:b/>
        </w:rPr>
        <w:t xml:space="preserve"> Sembilan (2004)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D74742" w:rsidRPr="00793403" w:rsidTr="00EC48B5">
        <w:tc>
          <w:tcPr>
            <w:tcW w:w="2310" w:type="dxa"/>
          </w:tcPr>
          <w:p w:rsidR="00D74742" w:rsidRPr="00793403" w:rsidRDefault="00D74742" w:rsidP="00EC48B5">
            <w:pPr>
              <w:spacing w:after="0"/>
              <w:jc w:val="center"/>
              <w:rPr>
                <w:rFonts w:ascii="Times New Roman" w:hAnsi="Times New Roman"/>
                <w:b/>
              </w:rPr>
            </w:pPr>
            <w:r w:rsidRPr="00793403">
              <w:rPr>
                <w:rFonts w:ascii="Times New Roman" w:hAnsi="Times New Roman"/>
                <w:b/>
              </w:rPr>
              <w:t>Model</w:t>
            </w:r>
          </w:p>
        </w:tc>
        <w:tc>
          <w:tcPr>
            <w:tcW w:w="2310" w:type="dxa"/>
          </w:tcPr>
          <w:p w:rsidR="00D74742" w:rsidRPr="00793403" w:rsidRDefault="00D74742" w:rsidP="00EC48B5">
            <w:pPr>
              <w:spacing w:after="0"/>
              <w:jc w:val="center"/>
              <w:rPr>
                <w:rFonts w:ascii="Times New Roman" w:hAnsi="Times New Roman"/>
                <w:b/>
              </w:rPr>
            </w:pPr>
            <w:r w:rsidRPr="00793403">
              <w:rPr>
                <w:rFonts w:ascii="Times New Roman" w:hAnsi="Times New Roman"/>
                <w:b/>
              </w:rPr>
              <w:t>R</w:t>
            </w:r>
          </w:p>
        </w:tc>
        <w:tc>
          <w:tcPr>
            <w:tcW w:w="2311" w:type="dxa"/>
          </w:tcPr>
          <w:p w:rsidR="00D74742" w:rsidRPr="00793403" w:rsidRDefault="00D74742" w:rsidP="00EC48B5">
            <w:pPr>
              <w:spacing w:after="0"/>
              <w:jc w:val="center"/>
              <w:rPr>
                <w:rFonts w:ascii="Times New Roman" w:hAnsi="Times New Roman"/>
                <w:b/>
              </w:rPr>
            </w:pPr>
            <w:smartTag w:uri="urn:schemas-microsoft-com:office:smarttags" w:element="country-region">
              <w:r w:rsidRPr="00793403">
                <w:rPr>
                  <w:rFonts w:ascii="Times New Roman" w:hAnsi="Times New Roman"/>
                  <w:b/>
                </w:rPr>
                <w:t>R Square</w:t>
              </w:r>
            </w:smartTag>
          </w:p>
        </w:tc>
        <w:tc>
          <w:tcPr>
            <w:tcW w:w="2311" w:type="dxa"/>
          </w:tcPr>
          <w:p w:rsidR="00D74742" w:rsidRPr="00793403" w:rsidRDefault="00D74742" w:rsidP="00EC48B5">
            <w:pPr>
              <w:spacing w:after="0"/>
              <w:jc w:val="center"/>
              <w:rPr>
                <w:rFonts w:ascii="Times New Roman" w:hAnsi="Times New Roman"/>
                <w:b/>
              </w:rPr>
            </w:pPr>
            <w:r w:rsidRPr="00793403">
              <w:rPr>
                <w:rFonts w:ascii="Times New Roman" w:hAnsi="Times New Roman"/>
                <w:b/>
              </w:rPr>
              <w:t xml:space="preserve">Adjusted </w:t>
            </w:r>
            <w:smartTag w:uri="urn:schemas-microsoft-com:office:smarttags" w:element="country-region">
              <w:r w:rsidRPr="00793403">
                <w:rPr>
                  <w:rFonts w:ascii="Times New Roman" w:hAnsi="Times New Roman"/>
                  <w:b/>
                </w:rPr>
                <w:t>R Square</w:t>
              </w:r>
            </w:smartTag>
          </w:p>
        </w:tc>
      </w:tr>
      <w:tr w:rsidR="00D74742" w:rsidRPr="00793403" w:rsidTr="00EC48B5">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January to March</w:t>
            </w:r>
          </w:p>
        </w:tc>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0.757</w:t>
            </w:r>
          </w:p>
        </w:tc>
        <w:tc>
          <w:tcPr>
            <w:tcW w:w="2311" w:type="dxa"/>
          </w:tcPr>
          <w:p w:rsidR="00D74742" w:rsidRPr="00793403" w:rsidRDefault="00D74742" w:rsidP="00EC48B5">
            <w:pPr>
              <w:spacing w:after="0"/>
              <w:jc w:val="center"/>
              <w:rPr>
                <w:rFonts w:ascii="Times New Roman" w:hAnsi="Times New Roman"/>
              </w:rPr>
            </w:pPr>
            <w:r w:rsidRPr="00793403">
              <w:rPr>
                <w:rFonts w:ascii="Times New Roman" w:hAnsi="Times New Roman"/>
              </w:rPr>
              <w:t>0.573</w:t>
            </w:r>
          </w:p>
        </w:tc>
        <w:tc>
          <w:tcPr>
            <w:tcW w:w="2311" w:type="dxa"/>
          </w:tcPr>
          <w:p w:rsidR="00D74742" w:rsidRPr="00793403" w:rsidRDefault="00D74742" w:rsidP="00EC48B5">
            <w:pPr>
              <w:spacing w:after="0"/>
              <w:jc w:val="center"/>
              <w:rPr>
                <w:rFonts w:ascii="Times New Roman" w:hAnsi="Times New Roman"/>
              </w:rPr>
            </w:pPr>
            <w:r w:rsidRPr="00793403">
              <w:rPr>
                <w:rFonts w:ascii="Times New Roman" w:hAnsi="Times New Roman"/>
              </w:rPr>
              <w:t>0.571</w:t>
            </w:r>
          </w:p>
        </w:tc>
      </w:tr>
      <w:tr w:rsidR="00D74742" w:rsidRPr="00793403" w:rsidTr="00EC48B5">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April to June</w:t>
            </w:r>
          </w:p>
        </w:tc>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0.782</w:t>
            </w:r>
          </w:p>
        </w:tc>
        <w:tc>
          <w:tcPr>
            <w:tcW w:w="2311" w:type="dxa"/>
          </w:tcPr>
          <w:p w:rsidR="00D74742" w:rsidRPr="00793403" w:rsidRDefault="00D74742" w:rsidP="00EC48B5">
            <w:pPr>
              <w:spacing w:after="0"/>
              <w:jc w:val="center"/>
              <w:rPr>
                <w:rFonts w:ascii="Times New Roman" w:hAnsi="Times New Roman"/>
              </w:rPr>
            </w:pPr>
            <w:r w:rsidRPr="00793403">
              <w:rPr>
                <w:rFonts w:ascii="Times New Roman" w:hAnsi="Times New Roman"/>
              </w:rPr>
              <w:t>0.612</w:t>
            </w:r>
          </w:p>
        </w:tc>
        <w:tc>
          <w:tcPr>
            <w:tcW w:w="2311" w:type="dxa"/>
          </w:tcPr>
          <w:p w:rsidR="00D74742" w:rsidRPr="00793403" w:rsidRDefault="00D74742" w:rsidP="00EC48B5">
            <w:pPr>
              <w:spacing w:after="0"/>
              <w:jc w:val="center"/>
              <w:rPr>
                <w:rFonts w:ascii="Times New Roman" w:hAnsi="Times New Roman"/>
              </w:rPr>
            </w:pPr>
            <w:r w:rsidRPr="00793403">
              <w:rPr>
                <w:rFonts w:ascii="Times New Roman" w:hAnsi="Times New Roman"/>
              </w:rPr>
              <w:t>0.610</w:t>
            </w:r>
          </w:p>
        </w:tc>
      </w:tr>
      <w:tr w:rsidR="00D74742" w:rsidRPr="00793403" w:rsidTr="00EC48B5">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July to September</w:t>
            </w:r>
          </w:p>
        </w:tc>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0.816</w:t>
            </w:r>
          </w:p>
        </w:tc>
        <w:tc>
          <w:tcPr>
            <w:tcW w:w="2311" w:type="dxa"/>
          </w:tcPr>
          <w:p w:rsidR="00D74742" w:rsidRPr="00793403" w:rsidRDefault="00D74742" w:rsidP="00EC48B5">
            <w:pPr>
              <w:spacing w:after="0"/>
              <w:jc w:val="center"/>
              <w:rPr>
                <w:rFonts w:ascii="Times New Roman" w:hAnsi="Times New Roman"/>
              </w:rPr>
            </w:pPr>
            <w:r w:rsidRPr="00793403">
              <w:rPr>
                <w:rFonts w:ascii="Times New Roman" w:hAnsi="Times New Roman"/>
              </w:rPr>
              <w:t>0.666</w:t>
            </w:r>
          </w:p>
        </w:tc>
        <w:tc>
          <w:tcPr>
            <w:tcW w:w="2311" w:type="dxa"/>
          </w:tcPr>
          <w:p w:rsidR="00D74742" w:rsidRPr="00793403" w:rsidRDefault="00D74742" w:rsidP="00EC48B5">
            <w:pPr>
              <w:spacing w:after="0"/>
              <w:jc w:val="center"/>
              <w:rPr>
                <w:rFonts w:ascii="Times New Roman" w:hAnsi="Times New Roman"/>
              </w:rPr>
            </w:pPr>
            <w:r w:rsidRPr="00793403">
              <w:rPr>
                <w:rFonts w:ascii="Times New Roman" w:hAnsi="Times New Roman"/>
              </w:rPr>
              <w:t>0.664</w:t>
            </w:r>
          </w:p>
        </w:tc>
      </w:tr>
      <w:tr w:rsidR="00D74742" w:rsidRPr="00793403" w:rsidTr="00EC48B5">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October to December</w:t>
            </w:r>
          </w:p>
        </w:tc>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0.712</w:t>
            </w:r>
          </w:p>
        </w:tc>
        <w:tc>
          <w:tcPr>
            <w:tcW w:w="2311" w:type="dxa"/>
          </w:tcPr>
          <w:p w:rsidR="00D74742" w:rsidRPr="00793403" w:rsidRDefault="00D74742" w:rsidP="00EC48B5">
            <w:pPr>
              <w:spacing w:after="0"/>
              <w:jc w:val="center"/>
              <w:rPr>
                <w:rFonts w:ascii="Times New Roman" w:hAnsi="Times New Roman"/>
              </w:rPr>
            </w:pPr>
            <w:r w:rsidRPr="00793403">
              <w:rPr>
                <w:rFonts w:ascii="Times New Roman" w:hAnsi="Times New Roman"/>
              </w:rPr>
              <w:t>0.507</w:t>
            </w:r>
          </w:p>
        </w:tc>
        <w:tc>
          <w:tcPr>
            <w:tcW w:w="2311" w:type="dxa"/>
          </w:tcPr>
          <w:p w:rsidR="00D74742" w:rsidRPr="00793403" w:rsidRDefault="00D74742" w:rsidP="00EC48B5">
            <w:pPr>
              <w:spacing w:after="0"/>
              <w:jc w:val="center"/>
              <w:rPr>
                <w:rFonts w:ascii="Times New Roman" w:hAnsi="Times New Roman"/>
              </w:rPr>
            </w:pPr>
            <w:r w:rsidRPr="00793403">
              <w:rPr>
                <w:rFonts w:ascii="Times New Roman" w:hAnsi="Times New Roman"/>
              </w:rPr>
              <w:t>0.503</w:t>
            </w:r>
          </w:p>
        </w:tc>
      </w:tr>
    </w:tbl>
    <w:p w:rsidR="00D74742" w:rsidRPr="006129EB" w:rsidRDefault="00D74742" w:rsidP="00D74742">
      <w:pPr>
        <w:rPr>
          <w:rFonts w:ascii="Times New Roman" w:hAnsi="Times New Roman"/>
        </w:rPr>
      </w:pPr>
      <w:r w:rsidRPr="006129EB">
        <w:rPr>
          <w:rFonts w:ascii="Times New Roman" w:hAnsi="Times New Roman"/>
        </w:rPr>
        <w:t>*Predictors: (Constant), Wind Speed, Humidity, NO</w:t>
      </w:r>
      <w:r w:rsidRPr="006129EB">
        <w:rPr>
          <w:rFonts w:ascii="Times New Roman" w:hAnsi="Times New Roman"/>
          <w:vertAlign w:val="subscript"/>
        </w:rPr>
        <w:t>2</w:t>
      </w:r>
      <w:r w:rsidRPr="006129EB">
        <w:rPr>
          <w:rFonts w:ascii="Times New Roman" w:hAnsi="Times New Roman"/>
        </w:rPr>
        <w:t>, UVB, Temperature</w:t>
      </w:r>
    </w:p>
    <w:p w:rsidR="00C41751" w:rsidRDefault="00C41751" w:rsidP="00D74742">
      <w:pPr>
        <w:rPr>
          <w:rFonts w:ascii="Times New Roman" w:hAnsi="Times New Roman"/>
          <w:b/>
          <w:bCs/>
          <w:color w:val="000000"/>
        </w:rPr>
      </w:pPr>
    </w:p>
    <w:p w:rsidR="00C41751" w:rsidRDefault="00C41751" w:rsidP="00D74742">
      <w:pPr>
        <w:rPr>
          <w:rFonts w:ascii="Times New Roman" w:hAnsi="Times New Roman"/>
          <w:b/>
          <w:bCs/>
          <w:color w:val="000000"/>
        </w:rPr>
      </w:pPr>
    </w:p>
    <w:p w:rsidR="00D74742" w:rsidRPr="006129EB" w:rsidRDefault="00D74742" w:rsidP="00A3467C">
      <w:pPr>
        <w:jc w:val="center"/>
        <w:rPr>
          <w:rFonts w:ascii="Times New Roman" w:hAnsi="Times New Roman"/>
        </w:rPr>
      </w:pPr>
      <w:r w:rsidRPr="006129EB">
        <w:rPr>
          <w:rFonts w:ascii="Times New Roman" w:hAnsi="Times New Roman"/>
          <w:b/>
          <w:bCs/>
          <w:color w:val="000000"/>
        </w:rPr>
        <w:lastRenderedPageBreak/>
        <w:t>Table</w:t>
      </w:r>
      <w:r w:rsidRPr="006129EB">
        <w:rPr>
          <w:rFonts w:ascii="Times New Roman" w:hAnsi="Times New Roman"/>
          <w:b/>
        </w:rPr>
        <w:t xml:space="preserve"> 3.2: Model summary of AOT50 for </w:t>
      </w:r>
      <w:proofErr w:type="spellStart"/>
      <w:r w:rsidRPr="006129EB">
        <w:rPr>
          <w:rFonts w:ascii="Times New Roman" w:hAnsi="Times New Roman"/>
          <w:b/>
        </w:rPr>
        <w:t>Nilai</w:t>
      </w:r>
      <w:proofErr w:type="spellEnd"/>
      <w:r w:rsidRPr="006129EB">
        <w:rPr>
          <w:rFonts w:ascii="Times New Roman" w:hAnsi="Times New Roman"/>
          <w:b/>
        </w:rPr>
        <w:t xml:space="preserve">, </w:t>
      </w:r>
      <w:proofErr w:type="spellStart"/>
      <w:r w:rsidRPr="006129EB">
        <w:rPr>
          <w:rFonts w:ascii="Times New Roman" w:hAnsi="Times New Roman"/>
          <w:b/>
        </w:rPr>
        <w:t>Negeri</w:t>
      </w:r>
      <w:proofErr w:type="spellEnd"/>
      <w:r w:rsidRPr="006129EB">
        <w:rPr>
          <w:rFonts w:ascii="Times New Roman" w:hAnsi="Times New Roman"/>
          <w:b/>
        </w:rPr>
        <w:t xml:space="preserve"> Sembilan (2004)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2310"/>
        <w:gridCol w:w="2311"/>
        <w:gridCol w:w="2311"/>
      </w:tblGrid>
      <w:tr w:rsidR="00D74742" w:rsidRPr="00793403" w:rsidTr="00EC48B5">
        <w:trPr>
          <w:jc w:val="center"/>
        </w:trPr>
        <w:tc>
          <w:tcPr>
            <w:tcW w:w="2310" w:type="dxa"/>
          </w:tcPr>
          <w:p w:rsidR="00D74742" w:rsidRPr="00793403" w:rsidRDefault="00D74742" w:rsidP="00EC48B5">
            <w:pPr>
              <w:spacing w:after="0"/>
              <w:jc w:val="center"/>
              <w:rPr>
                <w:rFonts w:ascii="Times New Roman" w:hAnsi="Times New Roman"/>
                <w:b/>
              </w:rPr>
            </w:pPr>
            <w:r w:rsidRPr="00793403">
              <w:rPr>
                <w:rFonts w:ascii="Times New Roman" w:hAnsi="Times New Roman"/>
                <w:b/>
              </w:rPr>
              <w:t>Model</w:t>
            </w:r>
          </w:p>
        </w:tc>
        <w:tc>
          <w:tcPr>
            <w:tcW w:w="2310" w:type="dxa"/>
          </w:tcPr>
          <w:p w:rsidR="00D74742" w:rsidRPr="00793403" w:rsidRDefault="00D74742" w:rsidP="00EC48B5">
            <w:pPr>
              <w:spacing w:after="0"/>
              <w:jc w:val="center"/>
              <w:rPr>
                <w:rFonts w:ascii="Times New Roman" w:hAnsi="Times New Roman"/>
                <w:b/>
              </w:rPr>
            </w:pPr>
            <w:r w:rsidRPr="00793403">
              <w:rPr>
                <w:rFonts w:ascii="Times New Roman" w:hAnsi="Times New Roman"/>
                <w:b/>
              </w:rPr>
              <w:t>R</w:t>
            </w:r>
          </w:p>
        </w:tc>
        <w:tc>
          <w:tcPr>
            <w:tcW w:w="2311" w:type="dxa"/>
          </w:tcPr>
          <w:p w:rsidR="00D74742" w:rsidRPr="00793403" w:rsidRDefault="00D74742" w:rsidP="00EC48B5">
            <w:pPr>
              <w:spacing w:after="0"/>
              <w:jc w:val="center"/>
              <w:rPr>
                <w:rFonts w:ascii="Times New Roman" w:hAnsi="Times New Roman"/>
                <w:b/>
              </w:rPr>
            </w:pPr>
            <w:smartTag w:uri="urn:schemas-microsoft-com:office:smarttags" w:element="country-region">
              <w:r w:rsidRPr="00793403">
                <w:rPr>
                  <w:rFonts w:ascii="Times New Roman" w:hAnsi="Times New Roman"/>
                  <w:b/>
                </w:rPr>
                <w:t>R Square</w:t>
              </w:r>
            </w:smartTag>
          </w:p>
        </w:tc>
        <w:tc>
          <w:tcPr>
            <w:tcW w:w="2311" w:type="dxa"/>
          </w:tcPr>
          <w:p w:rsidR="00D74742" w:rsidRPr="00793403" w:rsidRDefault="00D74742" w:rsidP="00EC48B5">
            <w:pPr>
              <w:spacing w:after="0"/>
              <w:jc w:val="center"/>
              <w:rPr>
                <w:rFonts w:ascii="Times New Roman" w:hAnsi="Times New Roman"/>
                <w:b/>
              </w:rPr>
            </w:pPr>
            <w:r w:rsidRPr="00793403">
              <w:rPr>
                <w:rFonts w:ascii="Times New Roman" w:hAnsi="Times New Roman"/>
                <w:b/>
              </w:rPr>
              <w:t xml:space="preserve">Adjusted </w:t>
            </w:r>
            <w:smartTag w:uri="urn:schemas-microsoft-com:office:smarttags" w:element="country-region">
              <w:r w:rsidRPr="00793403">
                <w:rPr>
                  <w:rFonts w:ascii="Times New Roman" w:hAnsi="Times New Roman"/>
                  <w:b/>
                </w:rPr>
                <w:t>R Square</w:t>
              </w:r>
            </w:smartTag>
          </w:p>
        </w:tc>
      </w:tr>
      <w:tr w:rsidR="00D74742" w:rsidRPr="00793403" w:rsidTr="00EC48B5">
        <w:trPr>
          <w:jc w:val="center"/>
        </w:trPr>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January to March</w:t>
            </w:r>
          </w:p>
        </w:tc>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0.819</w:t>
            </w:r>
          </w:p>
        </w:tc>
        <w:tc>
          <w:tcPr>
            <w:tcW w:w="2311" w:type="dxa"/>
            <w:vAlign w:val="center"/>
          </w:tcPr>
          <w:p w:rsidR="00D74742" w:rsidRPr="00793403" w:rsidRDefault="00D74742" w:rsidP="00EC48B5">
            <w:pPr>
              <w:autoSpaceDE w:val="0"/>
              <w:autoSpaceDN w:val="0"/>
              <w:adjustRightInd w:val="0"/>
              <w:spacing w:after="0"/>
              <w:jc w:val="center"/>
              <w:rPr>
                <w:rFonts w:ascii="Times New Roman" w:hAnsi="Times New Roman"/>
                <w:color w:val="000000"/>
              </w:rPr>
            </w:pPr>
            <w:r w:rsidRPr="00793403">
              <w:rPr>
                <w:rFonts w:ascii="Times New Roman" w:hAnsi="Times New Roman"/>
                <w:color w:val="000000"/>
              </w:rPr>
              <w:t>0.671</w:t>
            </w:r>
          </w:p>
        </w:tc>
        <w:tc>
          <w:tcPr>
            <w:tcW w:w="2311" w:type="dxa"/>
            <w:vAlign w:val="center"/>
          </w:tcPr>
          <w:p w:rsidR="00D74742" w:rsidRPr="00793403" w:rsidRDefault="00D74742" w:rsidP="00EC48B5">
            <w:pPr>
              <w:autoSpaceDE w:val="0"/>
              <w:autoSpaceDN w:val="0"/>
              <w:adjustRightInd w:val="0"/>
              <w:spacing w:after="0"/>
              <w:jc w:val="center"/>
              <w:rPr>
                <w:rFonts w:ascii="Times New Roman" w:hAnsi="Times New Roman"/>
                <w:color w:val="000000"/>
              </w:rPr>
            </w:pPr>
            <w:r w:rsidRPr="00793403">
              <w:rPr>
                <w:rFonts w:ascii="Times New Roman" w:hAnsi="Times New Roman"/>
                <w:color w:val="000000"/>
              </w:rPr>
              <w:t>0.638</w:t>
            </w:r>
          </w:p>
        </w:tc>
      </w:tr>
      <w:tr w:rsidR="00D74742" w:rsidRPr="00793403" w:rsidTr="00EC48B5">
        <w:trPr>
          <w:jc w:val="center"/>
        </w:trPr>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April to June</w:t>
            </w:r>
          </w:p>
        </w:tc>
        <w:tc>
          <w:tcPr>
            <w:tcW w:w="2310" w:type="dxa"/>
            <w:vAlign w:val="center"/>
          </w:tcPr>
          <w:p w:rsidR="00D74742" w:rsidRPr="00793403" w:rsidRDefault="00D74742" w:rsidP="00EC48B5">
            <w:pPr>
              <w:autoSpaceDE w:val="0"/>
              <w:autoSpaceDN w:val="0"/>
              <w:adjustRightInd w:val="0"/>
              <w:spacing w:after="0"/>
              <w:jc w:val="center"/>
              <w:rPr>
                <w:rFonts w:ascii="Times New Roman" w:hAnsi="Times New Roman"/>
                <w:color w:val="000000"/>
              </w:rPr>
            </w:pPr>
            <w:r w:rsidRPr="00793403">
              <w:rPr>
                <w:rFonts w:ascii="Times New Roman" w:hAnsi="Times New Roman"/>
                <w:color w:val="000000"/>
              </w:rPr>
              <w:t>0.672</w:t>
            </w:r>
          </w:p>
        </w:tc>
        <w:tc>
          <w:tcPr>
            <w:tcW w:w="2311" w:type="dxa"/>
            <w:vAlign w:val="center"/>
          </w:tcPr>
          <w:p w:rsidR="00D74742" w:rsidRPr="00793403" w:rsidRDefault="00D74742" w:rsidP="00EC48B5">
            <w:pPr>
              <w:autoSpaceDE w:val="0"/>
              <w:autoSpaceDN w:val="0"/>
              <w:adjustRightInd w:val="0"/>
              <w:spacing w:after="0"/>
              <w:jc w:val="center"/>
              <w:rPr>
                <w:rFonts w:ascii="Times New Roman" w:hAnsi="Times New Roman"/>
                <w:color w:val="000000"/>
              </w:rPr>
            </w:pPr>
            <w:r w:rsidRPr="00793403">
              <w:rPr>
                <w:rFonts w:ascii="Times New Roman" w:hAnsi="Times New Roman"/>
                <w:color w:val="000000"/>
              </w:rPr>
              <w:t>0.452</w:t>
            </w:r>
          </w:p>
        </w:tc>
        <w:tc>
          <w:tcPr>
            <w:tcW w:w="2311" w:type="dxa"/>
            <w:vAlign w:val="center"/>
          </w:tcPr>
          <w:p w:rsidR="00D74742" w:rsidRPr="00793403" w:rsidRDefault="00D74742" w:rsidP="00EC48B5">
            <w:pPr>
              <w:autoSpaceDE w:val="0"/>
              <w:autoSpaceDN w:val="0"/>
              <w:adjustRightInd w:val="0"/>
              <w:spacing w:after="0"/>
              <w:jc w:val="center"/>
              <w:rPr>
                <w:rFonts w:ascii="Times New Roman" w:hAnsi="Times New Roman"/>
                <w:color w:val="000000"/>
              </w:rPr>
            </w:pPr>
            <w:r w:rsidRPr="00793403">
              <w:rPr>
                <w:rFonts w:ascii="Times New Roman" w:hAnsi="Times New Roman"/>
                <w:color w:val="000000"/>
              </w:rPr>
              <w:t>0.397</w:t>
            </w:r>
          </w:p>
        </w:tc>
      </w:tr>
      <w:tr w:rsidR="00D74742" w:rsidRPr="00793403" w:rsidTr="00EC48B5">
        <w:trPr>
          <w:jc w:val="center"/>
        </w:trPr>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July to September</w:t>
            </w:r>
          </w:p>
        </w:tc>
        <w:tc>
          <w:tcPr>
            <w:tcW w:w="2310" w:type="dxa"/>
            <w:vAlign w:val="center"/>
          </w:tcPr>
          <w:p w:rsidR="00D74742" w:rsidRPr="00793403" w:rsidRDefault="00D74742" w:rsidP="00EC48B5">
            <w:pPr>
              <w:autoSpaceDE w:val="0"/>
              <w:autoSpaceDN w:val="0"/>
              <w:adjustRightInd w:val="0"/>
              <w:spacing w:after="0"/>
              <w:jc w:val="center"/>
              <w:rPr>
                <w:rFonts w:ascii="Times New Roman" w:hAnsi="Times New Roman"/>
                <w:color w:val="000000"/>
              </w:rPr>
            </w:pPr>
            <w:r w:rsidRPr="00793403">
              <w:rPr>
                <w:rFonts w:ascii="Times New Roman" w:hAnsi="Times New Roman"/>
                <w:color w:val="000000"/>
              </w:rPr>
              <w:t>0.687</w:t>
            </w:r>
          </w:p>
        </w:tc>
        <w:tc>
          <w:tcPr>
            <w:tcW w:w="2311" w:type="dxa"/>
            <w:vAlign w:val="center"/>
          </w:tcPr>
          <w:p w:rsidR="00D74742" w:rsidRPr="00793403" w:rsidRDefault="00D74742" w:rsidP="00EC48B5">
            <w:pPr>
              <w:autoSpaceDE w:val="0"/>
              <w:autoSpaceDN w:val="0"/>
              <w:adjustRightInd w:val="0"/>
              <w:spacing w:after="0"/>
              <w:jc w:val="center"/>
              <w:rPr>
                <w:rFonts w:ascii="Times New Roman" w:hAnsi="Times New Roman"/>
                <w:color w:val="000000"/>
              </w:rPr>
            </w:pPr>
            <w:r w:rsidRPr="00793403">
              <w:rPr>
                <w:rFonts w:ascii="Times New Roman" w:hAnsi="Times New Roman"/>
                <w:color w:val="000000"/>
              </w:rPr>
              <w:t>0.472</w:t>
            </w:r>
          </w:p>
        </w:tc>
        <w:tc>
          <w:tcPr>
            <w:tcW w:w="2311" w:type="dxa"/>
            <w:vAlign w:val="center"/>
          </w:tcPr>
          <w:p w:rsidR="00D74742" w:rsidRPr="00793403" w:rsidRDefault="00D74742" w:rsidP="00EC48B5">
            <w:pPr>
              <w:autoSpaceDE w:val="0"/>
              <w:autoSpaceDN w:val="0"/>
              <w:adjustRightInd w:val="0"/>
              <w:spacing w:after="0"/>
              <w:jc w:val="center"/>
              <w:rPr>
                <w:rFonts w:ascii="Times New Roman" w:hAnsi="Times New Roman"/>
                <w:color w:val="000000"/>
              </w:rPr>
            </w:pPr>
            <w:r w:rsidRPr="00793403">
              <w:rPr>
                <w:rFonts w:ascii="Times New Roman" w:hAnsi="Times New Roman"/>
                <w:color w:val="000000"/>
              </w:rPr>
              <w:t>0.420</w:t>
            </w:r>
          </w:p>
        </w:tc>
      </w:tr>
      <w:tr w:rsidR="00D74742" w:rsidRPr="00793403" w:rsidTr="00EC48B5">
        <w:trPr>
          <w:jc w:val="center"/>
        </w:trPr>
        <w:tc>
          <w:tcPr>
            <w:tcW w:w="2310" w:type="dxa"/>
          </w:tcPr>
          <w:p w:rsidR="00D74742" w:rsidRPr="00793403" w:rsidRDefault="00D74742" w:rsidP="00EC48B5">
            <w:pPr>
              <w:spacing w:after="0"/>
              <w:jc w:val="center"/>
              <w:rPr>
                <w:rFonts w:ascii="Times New Roman" w:hAnsi="Times New Roman"/>
              </w:rPr>
            </w:pPr>
            <w:r w:rsidRPr="00793403">
              <w:rPr>
                <w:rFonts w:ascii="Times New Roman" w:hAnsi="Times New Roman"/>
              </w:rPr>
              <w:t>October to December</w:t>
            </w:r>
          </w:p>
        </w:tc>
        <w:tc>
          <w:tcPr>
            <w:tcW w:w="2310" w:type="dxa"/>
            <w:vAlign w:val="center"/>
          </w:tcPr>
          <w:p w:rsidR="00D74742" w:rsidRPr="00793403" w:rsidRDefault="00D74742" w:rsidP="00EC48B5">
            <w:pPr>
              <w:autoSpaceDE w:val="0"/>
              <w:autoSpaceDN w:val="0"/>
              <w:adjustRightInd w:val="0"/>
              <w:spacing w:after="0"/>
              <w:jc w:val="center"/>
              <w:rPr>
                <w:rFonts w:ascii="Times New Roman" w:hAnsi="Times New Roman"/>
                <w:color w:val="000000"/>
              </w:rPr>
            </w:pPr>
            <w:r w:rsidRPr="00793403">
              <w:rPr>
                <w:rFonts w:ascii="Times New Roman" w:hAnsi="Times New Roman"/>
                <w:color w:val="000000"/>
              </w:rPr>
              <w:t>0.748</w:t>
            </w:r>
          </w:p>
        </w:tc>
        <w:tc>
          <w:tcPr>
            <w:tcW w:w="2311" w:type="dxa"/>
            <w:vAlign w:val="center"/>
          </w:tcPr>
          <w:p w:rsidR="00D74742" w:rsidRPr="00793403" w:rsidRDefault="00D74742" w:rsidP="00EC48B5">
            <w:pPr>
              <w:autoSpaceDE w:val="0"/>
              <w:autoSpaceDN w:val="0"/>
              <w:adjustRightInd w:val="0"/>
              <w:spacing w:after="0"/>
              <w:jc w:val="center"/>
              <w:rPr>
                <w:rFonts w:ascii="Times New Roman" w:hAnsi="Times New Roman"/>
                <w:color w:val="000000"/>
              </w:rPr>
            </w:pPr>
            <w:r w:rsidRPr="00793403">
              <w:rPr>
                <w:rFonts w:ascii="Times New Roman" w:hAnsi="Times New Roman"/>
                <w:color w:val="000000"/>
              </w:rPr>
              <w:t>0.559</w:t>
            </w:r>
          </w:p>
        </w:tc>
        <w:tc>
          <w:tcPr>
            <w:tcW w:w="2311" w:type="dxa"/>
            <w:vAlign w:val="center"/>
          </w:tcPr>
          <w:p w:rsidR="00D74742" w:rsidRPr="00793403" w:rsidRDefault="00D74742" w:rsidP="00EC48B5">
            <w:pPr>
              <w:autoSpaceDE w:val="0"/>
              <w:autoSpaceDN w:val="0"/>
              <w:adjustRightInd w:val="0"/>
              <w:spacing w:after="0"/>
              <w:jc w:val="center"/>
              <w:rPr>
                <w:rFonts w:ascii="Times New Roman" w:hAnsi="Times New Roman"/>
                <w:color w:val="000000"/>
              </w:rPr>
            </w:pPr>
            <w:r w:rsidRPr="00793403">
              <w:rPr>
                <w:rFonts w:ascii="Times New Roman" w:hAnsi="Times New Roman"/>
                <w:color w:val="000000"/>
              </w:rPr>
              <w:t>0.515</w:t>
            </w:r>
          </w:p>
        </w:tc>
      </w:tr>
    </w:tbl>
    <w:p w:rsidR="00D74742" w:rsidRPr="006129EB" w:rsidRDefault="00D74742" w:rsidP="00D74742">
      <w:pPr>
        <w:rPr>
          <w:rFonts w:ascii="Times New Roman" w:hAnsi="Times New Roman"/>
        </w:rPr>
      </w:pPr>
      <w:r w:rsidRPr="006129EB">
        <w:rPr>
          <w:rFonts w:ascii="Times New Roman" w:hAnsi="Times New Roman"/>
        </w:rPr>
        <w:t>*Predictors: (Constant), Ozone (ppb)</w:t>
      </w:r>
    </w:p>
    <w:p w:rsidR="00D74742" w:rsidRDefault="00D74742" w:rsidP="00D74742">
      <w:pPr>
        <w:ind w:firstLine="720"/>
        <w:jc w:val="both"/>
        <w:rPr>
          <w:rFonts w:ascii="Times New Roman" w:hAnsi="Times New Roman"/>
        </w:rPr>
      </w:pPr>
      <w:r w:rsidRPr="006129EB">
        <w:rPr>
          <w:rFonts w:ascii="Times New Roman" w:hAnsi="Times New Roman"/>
        </w:rPr>
        <w:t>Values for R square and adjusted R square in Tab</w:t>
      </w:r>
      <w:r>
        <w:rPr>
          <w:rFonts w:ascii="Times New Roman" w:hAnsi="Times New Roman"/>
        </w:rPr>
        <w:t>le 3.1 are between 0.5 and 0.7 while v</w:t>
      </w:r>
      <w:r w:rsidRPr="006129EB">
        <w:rPr>
          <w:rFonts w:ascii="Times New Roman" w:hAnsi="Times New Roman"/>
        </w:rPr>
        <w:t>alues for R square and adjusted R square in Table 3.2 are between 0.4 and 0.65</w:t>
      </w:r>
      <w:r>
        <w:rPr>
          <w:rFonts w:ascii="Times New Roman" w:hAnsi="Times New Roman"/>
        </w:rPr>
        <w:t xml:space="preserve">. </w:t>
      </w:r>
      <w:r w:rsidRPr="006129EB">
        <w:rPr>
          <w:rFonts w:ascii="Times New Roman" w:hAnsi="Times New Roman"/>
        </w:rPr>
        <w:t xml:space="preserve">According to </w:t>
      </w:r>
      <w:r w:rsidR="00F53C65" w:rsidRPr="006129EB">
        <w:rPr>
          <w:rFonts w:ascii="Times New Roman" w:hAnsi="Times New Roman"/>
        </w:rPr>
        <w:fldChar w:fldCharType="begin"/>
      </w:r>
      <w:r w:rsidRPr="006129EB">
        <w:rPr>
          <w:rFonts w:ascii="Times New Roman" w:hAnsi="Times New Roman"/>
        </w:rPr>
        <w:instrText xml:space="preserve"> ADDIN EN.CITE &lt;EndNote&gt;&lt;Cite&gt;&lt;Author&gt;Cohen&lt;/Author&gt;&lt;Year&gt;2007&lt;/Year&gt;&lt;IDText&gt;Research Methods in Education&lt;/IDText&gt;&lt;record&gt;&lt;ref-type name="Book"&gt;6&lt;/ref-type&gt;&lt;contributors&gt;&lt;authors&gt;&lt;author&gt;Cohen, Louis&lt;/author&gt;&lt;author&gt;Manion, Lawrence&lt;/author&gt;&lt;author&gt;Morrison, Keith R. B.&lt;/author&gt;&lt;/authors&gt;&lt;/contributors&gt;&lt;titles&gt;&lt;title&gt;Research Methods in Education&lt;/title&gt;&lt;/titles&gt;&lt;dates&gt;&lt;year&gt;2007&lt;/year&gt;&lt;/dates&gt;&lt;pub-location&gt;New York&lt;/pub-location&gt;&lt;publisher&gt;Routledge&lt;/publisher&gt;&lt;/record&gt;&lt;/Cite&gt;&lt;/EndNote&gt;</w:instrText>
      </w:r>
      <w:r w:rsidR="00F53C65" w:rsidRPr="006129EB">
        <w:rPr>
          <w:rFonts w:ascii="Times New Roman" w:hAnsi="Times New Roman"/>
        </w:rPr>
        <w:fldChar w:fldCharType="separate"/>
      </w:r>
      <w:r w:rsidRPr="006129EB">
        <w:rPr>
          <w:rFonts w:ascii="Times New Roman" w:hAnsi="Times New Roman"/>
          <w:noProof/>
        </w:rPr>
        <w:t>Cohen et al. (2007)</w:t>
      </w:r>
      <w:r w:rsidR="00F53C65" w:rsidRPr="006129EB">
        <w:rPr>
          <w:rFonts w:ascii="Times New Roman" w:hAnsi="Times New Roman"/>
        </w:rPr>
        <w:fldChar w:fldCharType="end"/>
      </w:r>
      <w:r w:rsidRPr="006129EB">
        <w:rPr>
          <w:rFonts w:ascii="Times New Roman" w:hAnsi="Times New Roman"/>
        </w:rPr>
        <w:t xml:space="preserve">, adjusted R square value which is higher than 0.5 indicates the strong fit model. </w:t>
      </w:r>
      <w:r>
        <w:rPr>
          <w:rFonts w:ascii="Times New Roman" w:hAnsi="Times New Roman"/>
        </w:rPr>
        <w:t>Moderate fit model is indicated by the adjusted R square value between 0.31 and 0.50.</w:t>
      </w:r>
      <w:r w:rsidRPr="006129EB">
        <w:rPr>
          <w:rFonts w:ascii="Times New Roman" w:hAnsi="Times New Roman"/>
        </w:rPr>
        <w:t xml:space="preserve"> </w:t>
      </w:r>
      <w:r>
        <w:rPr>
          <w:rFonts w:ascii="Times New Roman" w:hAnsi="Times New Roman"/>
        </w:rPr>
        <w:t>Results from Table 3.1</w:t>
      </w:r>
      <w:r w:rsidRPr="006129EB">
        <w:rPr>
          <w:rFonts w:ascii="Times New Roman" w:hAnsi="Times New Roman"/>
        </w:rPr>
        <w:t xml:space="preserve"> shows that </w:t>
      </w:r>
      <w:r>
        <w:rPr>
          <w:rFonts w:ascii="Times New Roman" w:hAnsi="Times New Roman"/>
        </w:rPr>
        <w:t xml:space="preserve">the </w:t>
      </w:r>
      <w:r w:rsidRPr="006129EB">
        <w:rPr>
          <w:rFonts w:ascii="Times New Roman" w:hAnsi="Times New Roman"/>
        </w:rPr>
        <w:t>wind speed, humidity, NO</w:t>
      </w:r>
      <w:r w:rsidRPr="006129EB">
        <w:rPr>
          <w:rFonts w:ascii="Times New Roman" w:hAnsi="Times New Roman"/>
          <w:vertAlign w:val="subscript"/>
        </w:rPr>
        <w:t>2</w:t>
      </w:r>
      <w:r w:rsidRPr="006129EB">
        <w:rPr>
          <w:rFonts w:ascii="Times New Roman" w:hAnsi="Times New Roman"/>
        </w:rPr>
        <w:t xml:space="preserve">, UVB, and temperature are highly contributed in the formation of ozone. </w:t>
      </w:r>
      <w:r>
        <w:rPr>
          <w:rFonts w:ascii="Times New Roman" w:hAnsi="Times New Roman"/>
        </w:rPr>
        <w:t xml:space="preserve">The outcome from Table 3.2 shows that the three-month period from April to September in 2004 gave the moderate fit result between the ozone concentration and AOT50 index in the study area. This result may due to the effects of </w:t>
      </w:r>
      <w:r w:rsidRPr="005D42B3">
        <w:rPr>
          <w:rFonts w:ascii="Times New Roman" w:hAnsi="Times New Roman"/>
        </w:rPr>
        <w:t>South-West monsoon</w:t>
      </w:r>
      <w:r>
        <w:rPr>
          <w:rFonts w:ascii="Times New Roman" w:hAnsi="Times New Roman"/>
        </w:rPr>
        <w:t xml:space="preserve"> that usually occur from April to September every year. In spite of this, further study ought to be completed in order to attain the most accurate explanations. </w:t>
      </w:r>
    </w:p>
    <w:p w:rsidR="00D74742" w:rsidRPr="00E23D28" w:rsidRDefault="00D74742" w:rsidP="00D74742">
      <w:pPr>
        <w:ind w:firstLine="720"/>
        <w:rPr>
          <w:rFonts w:ascii="Times New Roman" w:hAnsi="Times New Roman"/>
        </w:rPr>
      </w:pPr>
    </w:p>
    <w:p w:rsidR="00D74742" w:rsidRPr="006129EB" w:rsidRDefault="00D74742" w:rsidP="00D74742">
      <w:pPr>
        <w:rPr>
          <w:rFonts w:ascii="Times New Roman" w:hAnsi="Times New Roman"/>
          <w:b/>
        </w:rPr>
      </w:pPr>
      <w:r w:rsidRPr="006129EB">
        <w:rPr>
          <w:rFonts w:ascii="Times New Roman" w:hAnsi="Times New Roman"/>
          <w:b/>
        </w:rPr>
        <w:t>4. CONCLUSION</w:t>
      </w:r>
    </w:p>
    <w:p w:rsidR="00D74742" w:rsidRPr="006129EB" w:rsidRDefault="00D74742" w:rsidP="00C41751">
      <w:pPr>
        <w:ind w:firstLine="720"/>
        <w:jc w:val="both"/>
        <w:rPr>
          <w:rFonts w:ascii="Times New Roman" w:hAnsi="Times New Roman"/>
        </w:rPr>
      </w:pPr>
      <w:r w:rsidRPr="006129EB">
        <w:rPr>
          <w:rFonts w:ascii="Times New Roman" w:hAnsi="Times New Roman"/>
        </w:rPr>
        <w:t>The results fro</w:t>
      </w:r>
      <w:r>
        <w:rPr>
          <w:rFonts w:ascii="Times New Roman" w:hAnsi="Times New Roman"/>
        </w:rPr>
        <w:t xml:space="preserve">m this study can be concluded that AOT50 index is the most critical AOTX index, as compared to </w:t>
      </w:r>
      <w:r w:rsidRPr="006129EB">
        <w:rPr>
          <w:rFonts w:ascii="Times New Roman" w:hAnsi="Times New Roman"/>
        </w:rPr>
        <w:t>AOT0, AOT5, AOT10, AOT15, AOT20, AOT25, AOT30,</w:t>
      </w:r>
      <w:r>
        <w:rPr>
          <w:rFonts w:ascii="Times New Roman" w:hAnsi="Times New Roman"/>
        </w:rPr>
        <w:t xml:space="preserve"> and</w:t>
      </w:r>
      <w:r w:rsidRPr="006129EB">
        <w:rPr>
          <w:rFonts w:ascii="Times New Roman" w:hAnsi="Times New Roman"/>
        </w:rPr>
        <w:t xml:space="preserve"> AOT40</w:t>
      </w:r>
      <w:r>
        <w:rPr>
          <w:rFonts w:ascii="Times New Roman" w:hAnsi="Times New Roman"/>
        </w:rPr>
        <w:t xml:space="preserve"> in </w:t>
      </w:r>
      <w:proofErr w:type="spellStart"/>
      <w:r>
        <w:rPr>
          <w:rFonts w:ascii="Times New Roman" w:hAnsi="Times New Roman"/>
        </w:rPr>
        <w:t>Negeri</w:t>
      </w:r>
      <w:proofErr w:type="spellEnd"/>
      <w:r>
        <w:rPr>
          <w:rFonts w:ascii="Times New Roman" w:hAnsi="Times New Roman"/>
        </w:rPr>
        <w:t xml:space="preserve"> Sembilan. Adjusted R square value from the model summary of ozone </w:t>
      </w:r>
      <w:r w:rsidRPr="006129EB">
        <w:rPr>
          <w:rFonts w:ascii="Times New Roman" w:hAnsi="Times New Roman"/>
        </w:rPr>
        <w:t xml:space="preserve">shows that </w:t>
      </w:r>
      <w:r>
        <w:rPr>
          <w:rFonts w:ascii="Times New Roman" w:hAnsi="Times New Roman"/>
        </w:rPr>
        <w:t xml:space="preserve">the </w:t>
      </w:r>
      <w:r w:rsidRPr="006129EB">
        <w:rPr>
          <w:rFonts w:ascii="Times New Roman" w:hAnsi="Times New Roman"/>
        </w:rPr>
        <w:t>wind speed, humidity, NO</w:t>
      </w:r>
      <w:r w:rsidRPr="006129EB">
        <w:rPr>
          <w:rFonts w:ascii="Times New Roman" w:hAnsi="Times New Roman"/>
          <w:vertAlign w:val="subscript"/>
        </w:rPr>
        <w:t>2</w:t>
      </w:r>
      <w:r w:rsidRPr="006129EB">
        <w:rPr>
          <w:rFonts w:ascii="Times New Roman" w:hAnsi="Times New Roman"/>
        </w:rPr>
        <w:t>, UVB, and temperature are highly contributed in the formation of ozone</w:t>
      </w:r>
      <w:r>
        <w:rPr>
          <w:rFonts w:ascii="Times New Roman" w:hAnsi="Times New Roman"/>
        </w:rPr>
        <w:t>. However, the relationship between AOT50 index and ozone concentration needs to be completed in order to achieve the most precise explanations.</w:t>
      </w:r>
    </w:p>
    <w:p w:rsidR="00D74742" w:rsidRPr="006129EB" w:rsidRDefault="00D74742" w:rsidP="00D74742">
      <w:pPr>
        <w:rPr>
          <w:rFonts w:ascii="Times New Roman" w:hAnsi="Times New Roman"/>
        </w:rPr>
      </w:pPr>
    </w:p>
    <w:p w:rsidR="00D74742" w:rsidRPr="006129EB" w:rsidRDefault="00D74742" w:rsidP="00D74742">
      <w:pPr>
        <w:rPr>
          <w:rFonts w:ascii="Times New Roman" w:hAnsi="Times New Roman"/>
          <w:b/>
        </w:rPr>
      </w:pPr>
      <w:r w:rsidRPr="006129EB">
        <w:rPr>
          <w:rFonts w:ascii="Times New Roman" w:hAnsi="Times New Roman"/>
          <w:b/>
        </w:rPr>
        <w:t>5. ACKNOWLEDGEMENT</w:t>
      </w:r>
    </w:p>
    <w:p w:rsidR="00D74742" w:rsidRPr="006129EB" w:rsidRDefault="00D74742" w:rsidP="00275C9F">
      <w:pPr>
        <w:ind w:firstLine="720"/>
        <w:jc w:val="both"/>
        <w:rPr>
          <w:rFonts w:ascii="Times New Roman" w:hAnsi="Times New Roman"/>
          <w:color w:val="131313"/>
          <w:lang w:eastAsia="en-MY"/>
        </w:rPr>
      </w:pPr>
      <w:r w:rsidRPr="006129EB">
        <w:rPr>
          <w:rFonts w:ascii="Times New Roman" w:hAnsi="Times New Roman"/>
          <w:color w:val="131313"/>
          <w:lang w:eastAsia="en-MY"/>
        </w:rPr>
        <w:t xml:space="preserve">This study was funded by </w:t>
      </w:r>
      <w:proofErr w:type="spellStart"/>
      <w:r w:rsidRPr="006129EB">
        <w:rPr>
          <w:rFonts w:ascii="Times New Roman" w:hAnsi="Times New Roman"/>
          <w:color w:val="131313"/>
          <w:lang w:eastAsia="en-MY"/>
        </w:rPr>
        <w:t>Universiti</w:t>
      </w:r>
      <w:proofErr w:type="spellEnd"/>
      <w:r w:rsidRPr="006129EB">
        <w:rPr>
          <w:rFonts w:ascii="Times New Roman" w:hAnsi="Times New Roman"/>
          <w:color w:val="131313"/>
          <w:lang w:eastAsia="en-MY"/>
        </w:rPr>
        <w:t xml:space="preserve"> </w:t>
      </w:r>
      <w:proofErr w:type="spellStart"/>
      <w:r w:rsidRPr="006129EB">
        <w:rPr>
          <w:rFonts w:ascii="Times New Roman" w:hAnsi="Times New Roman"/>
          <w:color w:val="131313"/>
          <w:lang w:eastAsia="en-MY"/>
        </w:rPr>
        <w:t>Sains</w:t>
      </w:r>
      <w:proofErr w:type="spellEnd"/>
      <w:r w:rsidRPr="006129EB">
        <w:rPr>
          <w:rFonts w:ascii="Times New Roman" w:hAnsi="Times New Roman"/>
          <w:color w:val="131313"/>
          <w:lang w:eastAsia="en-MY"/>
        </w:rPr>
        <w:t xml:space="preserve"> Malaysia under Grant 304\PAWAM\\6039013304. Thank you to </w:t>
      </w:r>
      <w:proofErr w:type="spellStart"/>
      <w:r w:rsidRPr="006129EB">
        <w:rPr>
          <w:rFonts w:ascii="Times New Roman" w:hAnsi="Times New Roman"/>
          <w:color w:val="131313"/>
          <w:lang w:eastAsia="en-MY"/>
        </w:rPr>
        <w:t>Universiti</w:t>
      </w:r>
      <w:proofErr w:type="spellEnd"/>
      <w:r w:rsidRPr="006129EB">
        <w:rPr>
          <w:rFonts w:ascii="Times New Roman" w:hAnsi="Times New Roman"/>
          <w:color w:val="131313"/>
          <w:lang w:eastAsia="en-MY"/>
        </w:rPr>
        <w:t xml:space="preserve"> </w:t>
      </w:r>
      <w:proofErr w:type="spellStart"/>
      <w:r w:rsidRPr="006129EB">
        <w:rPr>
          <w:rFonts w:ascii="Times New Roman" w:hAnsi="Times New Roman"/>
          <w:color w:val="131313"/>
          <w:lang w:eastAsia="en-MY"/>
        </w:rPr>
        <w:t>Sains</w:t>
      </w:r>
      <w:proofErr w:type="spellEnd"/>
      <w:r w:rsidRPr="006129EB">
        <w:rPr>
          <w:rFonts w:ascii="Times New Roman" w:hAnsi="Times New Roman"/>
          <w:color w:val="131313"/>
          <w:lang w:eastAsia="en-MY"/>
        </w:rPr>
        <w:t xml:space="preserve"> Malaysia and Fellowship Scheme for providing financial support to carry out this study and also thanks to the Department of Environment Malaysia for their support.</w:t>
      </w:r>
    </w:p>
    <w:p w:rsidR="00D74742" w:rsidRDefault="00D74742" w:rsidP="00D74742">
      <w:pPr>
        <w:rPr>
          <w:rFonts w:ascii="Times New Roman" w:hAnsi="Times New Roman"/>
          <w:b/>
        </w:rPr>
      </w:pPr>
    </w:p>
    <w:p w:rsidR="00D74742" w:rsidRPr="006129EB" w:rsidRDefault="00D74742" w:rsidP="00D74742">
      <w:pPr>
        <w:rPr>
          <w:rFonts w:ascii="Times New Roman" w:hAnsi="Times New Roman"/>
          <w:b/>
        </w:rPr>
      </w:pPr>
      <w:r w:rsidRPr="006129EB">
        <w:rPr>
          <w:rFonts w:ascii="Times New Roman" w:hAnsi="Times New Roman"/>
          <w:b/>
        </w:rPr>
        <w:t>6. REFERENCES</w:t>
      </w:r>
    </w:p>
    <w:p w:rsidR="00D74742" w:rsidRPr="006129EB" w:rsidRDefault="00D74742" w:rsidP="00D74742">
      <w:pPr>
        <w:autoSpaceDE w:val="0"/>
        <w:autoSpaceDN w:val="0"/>
        <w:adjustRightInd w:val="0"/>
        <w:spacing w:after="0"/>
        <w:jc w:val="both"/>
        <w:rPr>
          <w:rFonts w:ascii="Times New Roman" w:hAnsi="Times New Roman"/>
        </w:rPr>
      </w:pPr>
      <w:proofErr w:type="spellStart"/>
      <w:r w:rsidRPr="006129EB">
        <w:rPr>
          <w:rFonts w:ascii="Times New Roman" w:hAnsi="Times New Roman"/>
        </w:rPr>
        <w:t>Ashmore</w:t>
      </w:r>
      <w:proofErr w:type="spellEnd"/>
      <w:r w:rsidRPr="006129EB">
        <w:rPr>
          <w:rFonts w:ascii="Times New Roman" w:hAnsi="Times New Roman"/>
        </w:rPr>
        <w:t xml:space="preserve">, M.R., 2005. </w:t>
      </w:r>
      <w:proofErr w:type="gramStart"/>
      <w:r w:rsidRPr="006129EB">
        <w:rPr>
          <w:rFonts w:ascii="Times New Roman" w:hAnsi="Times New Roman"/>
        </w:rPr>
        <w:t>Assessing the future global impacts of ozone on vegetation.</w:t>
      </w:r>
      <w:proofErr w:type="gramEnd"/>
      <w:r w:rsidRPr="006129EB">
        <w:rPr>
          <w:rFonts w:ascii="Times New Roman" w:hAnsi="Times New Roman"/>
        </w:rPr>
        <w:t xml:space="preserve"> Plant, Cell and Environment 28, 949–964.</w:t>
      </w:r>
    </w:p>
    <w:p w:rsidR="00D74742" w:rsidRPr="006129EB" w:rsidRDefault="00D74742" w:rsidP="00D74742">
      <w:pPr>
        <w:autoSpaceDE w:val="0"/>
        <w:autoSpaceDN w:val="0"/>
        <w:adjustRightInd w:val="0"/>
        <w:spacing w:after="0"/>
        <w:jc w:val="both"/>
        <w:rPr>
          <w:rFonts w:ascii="Times New Roman" w:hAnsi="Times New Roman"/>
        </w:rPr>
      </w:pPr>
    </w:p>
    <w:p w:rsidR="00D74742" w:rsidRPr="006129EB" w:rsidRDefault="00D74742" w:rsidP="00D74742">
      <w:pPr>
        <w:autoSpaceDE w:val="0"/>
        <w:autoSpaceDN w:val="0"/>
        <w:adjustRightInd w:val="0"/>
        <w:spacing w:after="0"/>
        <w:jc w:val="both"/>
        <w:rPr>
          <w:rFonts w:ascii="Times New Roman" w:hAnsi="Times New Roman"/>
          <w:color w:val="000000"/>
        </w:rPr>
      </w:pPr>
      <w:proofErr w:type="gramStart"/>
      <w:r w:rsidRPr="006129EB">
        <w:rPr>
          <w:rFonts w:ascii="Times New Roman" w:hAnsi="Times New Roman"/>
          <w:color w:val="000000"/>
        </w:rPr>
        <w:t>EANET, 2006.</w:t>
      </w:r>
      <w:proofErr w:type="gramEnd"/>
      <w:r w:rsidRPr="006129EB">
        <w:rPr>
          <w:rFonts w:ascii="Times New Roman" w:hAnsi="Times New Roman"/>
          <w:color w:val="000000"/>
        </w:rPr>
        <w:t xml:space="preserve"> Data report on the acid Deposition in the East Asian Region 2005. </w:t>
      </w:r>
      <w:proofErr w:type="gramStart"/>
      <w:r w:rsidRPr="006129EB">
        <w:rPr>
          <w:rFonts w:ascii="Times New Roman" w:hAnsi="Times New Roman"/>
          <w:color w:val="000000"/>
        </w:rPr>
        <w:t>Network Centre of EANET, Japan.</w:t>
      </w:r>
      <w:proofErr w:type="gramEnd"/>
      <w:r w:rsidRPr="006129EB">
        <w:rPr>
          <w:rFonts w:ascii="Times New Roman" w:hAnsi="Times New Roman"/>
          <w:color w:val="000000"/>
        </w:rPr>
        <w:t xml:space="preserve"> </w:t>
      </w:r>
      <w:hyperlink r:id="rId5" w:history="1">
        <w:r w:rsidRPr="006129EB">
          <w:rPr>
            <w:rStyle w:val="Hyperlink"/>
            <w:rFonts w:ascii="Times New Roman" w:hAnsi="Times New Roman"/>
          </w:rPr>
          <w:t>http://www.eanet.cc/</w:t>
        </w:r>
      </w:hyperlink>
      <w:r w:rsidRPr="006129EB">
        <w:rPr>
          <w:rFonts w:ascii="Times New Roman" w:hAnsi="Times New Roman"/>
          <w:color w:val="000000"/>
        </w:rPr>
        <w:t>.</w:t>
      </w:r>
    </w:p>
    <w:p w:rsidR="00D74742" w:rsidRPr="006129EB" w:rsidRDefault="00D74742" w:rsidP="00D74742">
      <w:pPr>
        <w:autoSpaceDE w:val="0"/>
        <w:autoSpaceDN w:val="0"/>
        <w:adjustRightInd w:val="0"/>
        <w:spacing w:after="0"/>
        <w:jc w:val="both"/>
        <w:rPr>
          <w:rFonts w:ascii="Times New Roman" w:hAnsi="Times New Roman"/>
        </w:rPr>
      </w:pPr>
    </w:p>
    <w:p w:rsidR="00D74742" w:rsidRPr="006129EB" w:rsidRDefault="00D74742" w:rsidP="00D74742">
      <w:pPr>
        <w:autoSpaceDE w:val="0"/>
        <w:autoSpaceDN w:val="0"/>
        <w:adjustRightInd w:val="0"/>
        <w:spacing w:after="0"/>
        <w:jc w:val="both"/>
        <w:rPr>
          <w:rFonts w:ascii="Times New Roman" w:hAnsi="Times New Roman"/>
        </w:rPr>
      </w:pPr>
      <w:proofErr w:type="spellStart"/>
      <w:proofErr w:type="gramStart"/>
      <w:r>
        <w:rPr>
          <w:rFonts w:ascii="Times New Roman" w:hAnsi="Times New Roman"/>
        </w:rPr>
        <w:t>Feng</w:t>
      </w:r>
      <w:proofErr w:type="spellEnd"/>
      <w:r>
        <w:rPr>
          <w:rFonts w:ascii="Times New Roman" w:hAnsi="Times New Roman"/>
        </w:rPr>
        <w:t>, Z. &amp; Kobayashi, K., 2009</w:t>
      </w:r>
      <w:r w:rsidRPr="006129EB">
        <w:rPr>
          <w:rFonts w:ascii="Times New Roman" w:hAnsi="Times New Roman"/>
        </w:rPr>
        <w:t>.</w:t>
      </w:r>
      <w:proofErr w:type="gramEnd"/>
      <w:r w:rsidRPr="006129EB">
        <w:rPr>
          <w:rFonts w:ascii="Times New Roman" w:hAnsi="Times New Roman"/>
        </w:rPr>
        <w:t xml:space="preserve"> </w:t>
      </w:r>
      <w:proofErr w:type="gramStart"/>
      <w:r w:rsidRPr="006129EB">
        <w:rPr>
          <w:rFonts w:ascii="Times New Roman" w:hAnsi="Times New Roman"/>
        </w:rPr>
        <w:t>Assessing the impacts of current and future concentrations of surface ozone on crop yield with meta-analysis.</w:t>
      </w:r>
      <w:proofErr w:type="gramEnd"/>
      <w:r w:rsidRPr="006129EB">
        <w:rPr>
          <w:rFonts w:ascii="Times New Roman" w:hAnsi="Times New Roman"/>
        </w:rPr>
        <w:t xml:space="preserve"> Atmospheric Environment 43, 1510–1519.</w:t>
      </w:r>
    </w:p>
    <w:p w:rsidR="00D74742" w:rsidRPr="00912375" w:rsidRDefault="00D74742" w:rsidP="00D74742">
      <w:pPr>
        <w:pStyle w:val="NoSpacing"/>
        <w:spacing w:line="276" w:lineRule="auto"/>
        <w:jc w:val="both"/>
        <w:rPr>
          <w:sz w:val="22"/>
        </w:rPr>
      </w:pPr>
      <w:r w:rsidRPr="006129EB">
        <w:rPr>
          <w:sz w:val="22"/>
        </w:rPr>
        <w:lastRenderedPageBreak/>
        <w:t xml:space="preserve">Fuhrer, J., </w:t>
      </w:r>
      <w:proofErr w:type="spellStart"/>
      <w:r w:rsidRPr="006129EB">
        <w:rPr>
          <w:sz w:val="22"/>
        </w:rPr>
        <w:t>Skarby</w:t>
      </w:r>
      <w:proofErr w:type="spellEnd"/>
      <w:r w:rsidRPr="006129EB">
        <w:rPr>
          <w:sz w:val="22"/>
        </w:rPr>
        <w:t>, L</w:t>
      </w:r>
      <w:proofErr w:type="gramStart"/>
      <w:r w:rsidRPr="006129EB">
        <w:rPr>
          <w:sz w:val="22"/>
        </w:rPr>
        <w:t>.&amp;</w:t>
      </w:r>
      <w:proofErr w:type="gramEnd"/>
      <w:r w:rsidRPr="006129EB">
        <w:rPr>
          <w:sz w:val="22"/>
        </w:rPr>
        <w:t xml:space="preserve"> </w:t>
      </w:r>
      <w:proofErr w:type="spellStart"/>
      <w:r>
        <w:rPr>
          <w:sz w:val="22"/>
        </w:rPr>
        <w:t>Ashmore</w:t>
      </w:r>
      <w:proofErr w:type="spellEnd"/>
      <w:r>
        <w:rPr>
          <w:sz w:val="22"/>
        </w:rPr>
        <w:t>, M. R., 1997</w:t>
      </w:r>
      <w:r w:rsidRPr="006129EB">
        <w:rPr>
          <w:sz w:val="22"/>
        </w:rPr>
        <w:t>. Critical levels for ozone effects on vegetation in Europe</w:t>
      </w:r>
      <w:r>
        <w:rPr>
          <w:sz w:val="22"/>
        </w:rPr>
        <w:t xml:space="preserve">. </w:t>
      </w:r>
      <w:proofErr w:type="gramStart"/>
      <w:r>
        <w:rPr>
          <w:sz w:val="22"/>
        </w:rPr>
        <w:t>Environmental Pollution</w:t>
      </w:r>
      <w:r w:rsidRPr="00912375">
        <w:rPr>
          <w:sz w:val="22"/>
        </w:rPr>
        <w:t xml:space="preserve"> 97, 91- 106.</w:t>
      </w:r>
      <w:proofErr w:type="gramEnd"/>
      <w:r w:rsidRPr="00912375">
        <w:rPr>
          <w:sz w:val="22"/>
        </w:rPr>
        <w:t xml:space="preserve"> </w:t>
      </w:r>
    </w:p>
    <w:p w:rsidR="00D74742" w:rsidRPr="006129EB" w:rsidRDefault="00D74742" w:rsidP="00D74742">
      <w:pPr>
        <w:autoSpaceDE w:val="0"/>
        <w:autoSpaceDN w:val="0"/>
        <w:adjustRightInd w:val="0"/>
        <w:spacing w:after="0"/>
        <w:jc w:val="both"/>
        <w:rPr>
          <w:rFonts w:ascii="Times New Roman" w:hAnsi="Times New Roman"/>
        </w:rPr>
      </w:pPr>
    </w:p>
    <w:p w:rsidR="003A6D43" w:rsidRDefault="00D74742" w:rsidP="003A6D43">
      <w:pPr>
        <w:autoSpaceDE w:val="0"/>
        <w:autoSpaceDN w:val="0"/>
        <w:adjustRightInd w:val="0"/>
        <w:spacing w:after="0"/>
        <w:jc w:val="both"/>
        <w:rPr>
          <w:rFonts w:ascii="Times New Roman" w:hAnsi="Times New Roman"/>
        </w:rPr>
      </w:pPr>
      <w:r w:rsidRPr="006129EB">
        <w:rPr>
          <w:rFonts w:ascii="Times New Roman" w:hAnsi="Times New Roman"/>
        </w:rPr>
        <w:t xml:space="preserve">Holland, M., </w:t>
      </w:r>
      <w:proofErr w:type="spellStart"/>
      <w:r w:rsidRPr="006129EB">
        <w:rPr>
          <w:rFonts w:ascii="Times New Roman" w:hAnsi="Times New Roman"/>
        </w:rPr>
        <w:t>Kinghorn</w:t>
      </w:r>
      <w:proofErr w:type="spellEnd"/>
      <w:r w:rsidRPr="006129EB">
        <w:rPr>
          <w:rFonts w:ascii="Times New Roman" w:hAnsi="Times New Roman"/>
        </w:rPr>
        <w:t xml:space="preserve">, S., </w:t>
      </w:r>
      <w:proofErr w:type="spellStart"/>
      <w:r w:rsidRPr="006129EB">
        <w:rPr>
          <w:rFonts w:ascii="Times New Roman" w:hAnsi="Times New Roman"/>
        </w:rPr>
        <w:t>Emberson</w:t>
      </w:r>
      <w:proofErr w:type="spellEnd"/>
      <w:r w:rsidRPr="006129EB">
        <w:rPr>
          <w:rFonts w:ascii="Times New Roman" w:hAnsi="Times New Roman"/>
        </w:rPr>
        <w:t xml:space="preserve">, L., </w:t>
      </w:r>
      <w:proofErr w:type="spellStart"/>
      <w:r w:rsidRPr="006129EB">
        <w:rPr>
          <w:rFonts w:ascii="Times New Roman" w:hAnsi="Times New Roman"/>
        </w:rPr>
        <w:t>Cinde</w:t>
      </w:r>
      <w:r>
        <w:rPr>
          <w:rFonts w:ascii="Times New Roman" w:hAnsi="Times New Roman"/>
        </w:rPr>
        <w:t>rby</w:t>
      </w:r>
      <w:proofErr w:type="spellEnd"/>
      <w:r>
        <w:rPr>
          <w:rFonts w:ascii="Times New Roman" w:hAnsi="Times New Roman"/>
        </w:rPr>
        <w:t xml:space="preserve">, S., </w:t>
      </w:r>
      <w:proofErr w:type="spellStart"/>
      <w:r>
        <w:rPr>
          <w:rFonts w:ascii="Times New Roman" w:hAnsi="Times New Roman"/>
        </w:rPr>
        <w:t>Ashmore</w:t>
      </w:r>
      <w:proofErr w:type="spellEnd"/>
      <w:r>
        <w:rPr>
          <w:rFonts w:ascii="Times New Roman" w:hAnsi="Times New Roman"/>
        </w:rPr>
        <w:t>, M., Mills, G. &amp;</w:t>
      </w:r>
      <w:r w:rsidRPr="006129EB">
        <w:rPr>
          <w:rFonts w:ascii="Times New Roman" w:hAnsi="Times New Roman"/>
        </w:rPr>
        <w:t xml:space="preserve"> </w:t>
      </w:r>
      <w:proofErr w:type="spellStart"/>
      <w:r w:rsidRPr="006129EB">
        <w:rPr>
          <w:rFonts w:ascii="Times New Roman" w:hAnsi="Times New Roman"/>
        </w:rPr>
        <w:t>Harmens</w:t>
      </w:r>
      <w:proofErr w:type="spellEnd"/>
      <w:r w:rsidRPr="006129EB">
        <w:rPr>
          <w:rFonts w:ascii="Times New Roman" w:hAnsi="Times New Roman"/>
        </w:rPr>
        <w:t xml:space="preserve">, H., 2006. </w:t>
      </w:r>
      <w:proofErr w:type="gramStart"/>
      <w:r w:rsidRPr="006129EB">
        <w:rPr>
          <w:rFonts w:ascii="Times New Roman" w:hAnsi="Times New Roman"/>
        </w:rPr>
        <w:t>Development of a framework for probabilistic assessment of the economic losses caused by ozone damage to crops in Europe.</w:t>
      </w:r>
      <w:proofErr w:type="gramEnd"/>
      <w:r w:rsidRPr="006129EB">
        <w:rPr>
          <w:rFonts w:ascii="Times New Roman" w:hAnsi="Times New Roman"/>
        </w:rPr>
        <w:t xml:space="preserve"> </w:t>
      </w:r>
      <w:proofErr w:type="gramStart"/>
      <w:r w:rsidRPr="006129EB">
        <w:rPr>
          <w:rFonts w:ascii="Times New Roman" w:hAnsi="Times New Roman"/>
        </w:rPr>
        <w:t>CEH Project No.</w:t>
      </w:r>
      <w:proofErr w:type="gramEnd"/>
      <w:r w:rsidRPr="006129EB">
        <w:rPr>
          <w:rFonts w:ascii="Times New Roman" w:hAnsi="Times New Roman"/>
        </w:rPr>
        <w:t xml:space="preserve"> C02309NEW. </w:t>
      </w:r>
      <w:proofErr w:type="gramStart"/>
      <w:r w:rsidRPr="006129EB">
        <w:rPr>
          <w:rFonts w:ascii="Times New Roman" w:hAnsi="Times New Roman"/>
        </w:rPr>
        <w:t>Report to U.K. Department of Environment, Food and Rural affairs under contract 1/2/170 1/3/205.</w:t>
      </w:r>
      <w:proofErr w:type="gramEnd"/>
    </w:p>
    <w:p w:rsidR="003A6D43" w:rsidRDefault="003A6D43" w:rsidP="003A6D43">
      <w:pPr>
        <w:autoSpaceDE w:val="0"/>
        <w:autoSpaceDN w:val="0"/>
        <w:adjustRightInd w:val="0"/>
        <w:spacing w:after="0"/>
        <w:jc w:val="both"/>
        <w:rPr>
          <w:rFonts w:ascii="Times New Roman" w:hAnsi="Times New Roman"/>
        </w:rPr>
      </w:pPr>
    </w:p>
    <w:p w:rsidR="003A6D43" w:rsidRDefault="00D74742" w:rsidP="003A6D43">
      <w:pPr>
        <w:autoSpaceDE w:val="0"/>
        <w:autoSpaceDN w:val="0"/>
        <w:adjustRightInd w:val="0"/>
        <w:spacing w:after="0"/>
        <w:jc w:val="both"/>
        <w:rPr>
          <w:rFonts w:ascii="Times New Roman" w:hAnsi="Times New Roman"/>
        </w:rPr>
      </w:pPr>
      <w:r w:rsidRPr="006129EB">
        <w:rPr>
          <w:rFonts w:ascii="Times New Roman" w:hAnsi="Times New Roman"/>
          <w:noProof/>
          <w:color w:val="000000"/>
        </w:rPr>
        <w:t>Ishii, S., Be</w:t>
      </w:r>
      <w:r>
        <w:rPr>
          <w:rFonts w:ascii="Times New Roman" w:hAnsi="Times New Roman"/>
          <w:noProof/>
          <w:color w:val="000000"/>
        </w:rPr>
        <w:t>ll, J. N. B. &amp; Marshall, F. M. 2007</w:t>
      </w:r>
      <w:r w:rsidRPr="006129EB">
        <w:rPr>
          <w:rFonts w:ascii="Times New Roman" w:hAnsi="Times New Roman"/>
          <w:noProof/>
          <w:color w:val="000000"/>
        </w:rPr>
        <w:t>. Phytotoxic risk assessment of ambient air pollution on agricultural crops in Selangor State, Malaysia. Environment</w:t>
      </w:r>
      <w:r>
        <w:rPr>
          <w:rFonts w:ascii="Times New Roman" w:hAnsi="Times New Roman"/>
          <w:noProof/>
          <w:color w:val="000000"/>
        </w:rPr>
        <w:t xml:space="preserve">al Pollution </w:t>
      </w:r>
      <w:r w:rsidRPr="006129EB">
        <w:rPr>
          <w:rFonts w:ascii="Times New Roman" w:hAnsi="Times New Roman"/>
          <w:noProof/>
          <w:color w:val="000000"/>
        </w:rPr>
        <w:t>150</w:t>
      </w:r>
      <w:r w:rsidRPr="006129EB">
        <w:rPr>
          <w:rFonts w:ascii="Times New Roman" w:hAnsi="Times New Roman"/>
          <w:b/>
          <w:noProof/>
          <w:color w:val="000000"/>
        </w:rPr>
        <w:t>,</w:t>
      </w:r>
      <w:r w:rsidRPr="006129EB">
        <w:rPr>
          <w:rFonts w:ascii="Times New Roman" w:hAnsi="Times New Roman"/>
          <w:noProof/>
          <w:color w:val="000000"/>
        </w:rPr>
        <w:t xml:space="preserve"> 267-279.</w:t>
      </w:r>
    </w:p>
    <w:p w:rsidR="003A6D43" w:rsidRDefault="003A6D43" w:rsidP="003A6D43">
      <w:pPr>
        <w:autoSpaceDE w:val="0"/>
        <w:autoSpaceDN w:val="0"/>
        <w:adjustRightInd w:val="0"/>
        <w:spacing w:after="0"/>
        <w:jc w:val="both"/>
        <w:rPr>
          <w:rFonts w:ascii="Times New Roman" w:hAnsi="Times New Roman"/>
        </w:rPr>
      </w:pPr>
    </w:p>
    <w:p w:rsidR="003A6D43" w:rsidRDefault="00D74742" w:rsidP="00D74742">
      <w:pPr>
        <w:autoSpaceDE w:val="0"/>
        <w:autoSpaceDN w:val="0"/>
        <w:adjustRightInd w:val="0"/>
        <w:spacing w:after="0"/>
        <w:jc w:val="both"/>
        <w:rPr>
          <w:rFonts w:ascii="Times New Roman" w:hAnsi="Times New Roman"/>
        </w:rPr>
      </w:pPr>
      <w:proofErr w:type="gramStart"/>
      <w:r w:rsidRPr="006129EB">
        <w:rPr>
          <w:rFonts w:ascii="Times New Roman" w:hAnsi="Times New Roman"/>
        </w:rPr>
        <w:t xml:space="preserve">Keller, F., </w:t>
      </w:r>
      <w:proofErr w:type="spellStart"/>
      <w:r w:rsidRPr="006129EB">
        <w:rPr>
          <w:rFonts w:ascii="Times New Roman" w:hAnsi="Times New Roman"/>
        </w:rPr>
        <w:t>Bassin</w:t>
      </w:r>
      <w:proofErr w:type="spellEnd"/>
      <w:r w:rsidRPr="006129EB">
        <w:rPr>
          <w:rFonts w:ascii="Times New Roman" w:hAnsi="Times New Roman"/>
        </w:rPr>
        <w:t xml:space="preserve">, S., </w:t>
      </w:r>
      <w:proofErr w:type="spellStart"/>
      <w:r w:rsidRPr="006129EB">
        <w:rPr>
          <w:rFonts w:ascii="Times New Roman" w:hAnsi="Times New Roman"/>
        </w:rPr>
        <w:t>Ammann</w:t>
      </w:r>
      <w:proofErr w:type="spellEnd"/>
      <w:r w:rsidRPr="006129EB">
        <w:rPr>
          <w:rFonts w:ascii="Times New Roman" w:hAnsi="Times New Roman"/>
        </w:rPr>
        <w:t>, C. &amp;</w:t>
      </w:r>
      <w:r>
        <w:rPr>
          <w:rFonts w:ascii="Times New Roman" w:hAnsi="Times New Roman"/>
        </w:rPr>
        <w:t xml:space="preserve"> Fuhrer, J. 2007</w:t>
      </w:r>
      <w:r w:rsidRPr="006129EB">
        <w:rPr>
          <w:rFonts w:ascii="Times New Roman" w:hAnsi="Times New Roman"/>
        </w:rPr>
        <w:t>.</w:t>
      </w:r>
      <w:proofErr w:type="gramEnd"/>
      <w:r w:rsidRPr="006129EB">
        <w:rPr>
          <w:rFonts w:ascii="Times New Roman" w:hAnsi="Times New Roman"/>
        </w:rPr>
        <w:t xml:space="preserve"> High- resolution modelling of AOT40 and stomatal ozone uptake in wheat and grassland: A comparison between 2000 and hot summer of 2003 in Switzerland</w:t>
      </w:r>
      <w:r w:rsidRPr="001478F9">
        <w:rPr>
          <w:rFonts w:ascii="Times New Roman" w:hAnsi="Times New Roman"/>
        </w:rPr>
        <w:t xml:space="preserve">. </w:t>
      </w:r>
      <w:r>
        <w:rPr>
          <w:rFonts w:ascii="Times New Roman" w:hAnsi="Times New Roman"/>
        </w:rPr>
        <w:t xml:space="preserve">Environmental Pollution </w:t>
      </w:r>
      <w:r w:rsidRPr="001478F9">
        <w:rPr>
          <w:rFonts w:ascii="Times New Roman" w:hAnsi="Times New Roman"/>
        </w:rPr>
        <w:t>146</w:t>
      </w:r>
      <w:r w:rsidRPr="006129EB">
        <w:rPr>
          <w:rFonts w:ascii="Times New Roman" w:hAnsi="Times New Roman"/>
          <w:i/>
        </w:rPr>
        <w:t>,</w:t>
      </w:r>
      <w:r w:rsidRPr="006129EB">
        <w:rPr>
          <w:rFonts w:ascii="Times New Roman" w:hAnsi="Times New Roman"/>
        </w:rPr>
        <w:t xml:space="preserve"> 671-677</w:t>
      </w:r>
    </w:p>
    <w:p w:rsidR="003A6D43" w:rsidRDefault="003A6D43" w:rsidP="00D74742">
      <w:pPr>
        <w:autoSpaceDE w:val="0"/>
        <w:autoSpaceDN w:val="0"/>
        <w:adjustRightInd w:val="0"/>
        <w:spacing w:after="0"/>
        <w:jc w:val="both"/>
        <w:rPr>
          <w:rFonts w:ascii="Times New Roman" w:hAnsi="Times New Roman"/>
        </w:rPr>
      </w:pPr>
    </w:p>
    <w:p w:rsidR="00D74742" w:rsidRDefault="00D74742" w:rsidP="00D74742">
      <w:pPr>
        <w:autoSpaceDE w:val="0"/>
        <w:autoSpaceDN w:val="0"/>
        <w:adjustRightInd w:val="0"/>
        <w:spacing w:after="0"/>
        <w:jc w:val="both"/>
        <w:rPr>
          <w:rFonts w:ascii="Times New Roman" w:hAnsi="Times New Roman"/>
        </w:rPr>
      </w:pPr>
      <w:proofErr w:type="gramStart"/>
      <w:r>
        <w:rPr>
          <w:rFonts w:ascii="Times New Roman" w:hAnsi="Times New Roman"/>
        </w:rPr>
        <w:t xml:space="preserve">Morgan, P.B., Ainsworth, E.A. &amp; Long, S.P. </w:t>
      </w:r>
      <w:r w:rsidRPr="006129EB">
        <w:rPr>
          <w:rFonts w:ascii="Times New Roman" w:hAnsi="Times New Roman"/>
        </w:rPr>
        <w:t>2003.</w:t>
      </w:r>
      <w:proofErr w:type="gramEnd"/>
      <w:r w:rsidRPr="006129EB">
        <w:rPr>
          <w:rFonts w:ascii="Times New Roman" w:hAnsi="Times New Roman"/>
        </w:rPr>
        <w:t xml:space="preserve"> How does elevated ozone impact soybean? </w:t>
      </w:r>
      <w:proofErr w:type="gramStart"/>
      <w:r w:rsidRPr="006129EB">
        <w:rPr>
          <w:rFonts w:ascii="Times New Roman" w:hAnsi="Times New Roman"/>
        </w:rPr>
        <w:t>A meta-analysis of photosynthesis, growth and yield.</w:t>
      </w:r>
      <w:proofErr w:type="gramEnd"/>
      <w:r w:rsidRPr="006129EB">
        <w:rPr>
          <w:rFonts w:ascii="Times New Roman" w:hAnsi="Times New Roman"/>
        </w:rPr>
        <w:t xml:space="preserve"> Plant, Cell and Environment 26, 1317–1328.</w:t>
      </w:r>
    </w:p>
    <w:p w:rsidR="00D74742" w:rsidRDefault="00D74742" w:rsidP="00D74742">
      <w:pPr>
        <w:autoSpaceDE w:val="0"/>
        <w:autoSpaceDN w:val="0"/>
        <w:adjustRightInd w:val="0"/>
        <w:spacing w:after="0"/>
        <w:jc w:val="both"/>
        <w:rPr>
          <w:rFonts w:ascii="Times New Roman" w:hAnsi="Times New Roman"/>
        </w:rPr>
      </w:pPr>
    </w:p>
    <w:p w:rsidR="00D74742" w:rsidRPr="006129EB" w:rsidRDefault="00D74742" w:rsidP="00D74742">
      <w:pPr>
        <w:autoSpaceDE w:val="0"/>
        <w:autoSpaceDN w:val="0"/>
        <w:adjustRightInd w:val="0"/>
        <w:spacing w:after="0"/>
        <w:jc w:val="both"/>
        <w:rPr>
          <w:rFonts w:ascii="Times New Roman" w:hAnsi="Times New Roman"/>
        </w:rPr>
      </w:pPr>
      <w:r w:rsidRPr="00DB66EC">
        <w:rPr>
          <w:rFonts w:ascii="Times New Roman" w:hAnsi="Times New Roman"/>
          <w:lang w:val="de-DE"/>
        </w:rPr>
        <w:t xml:space="preserve">Pleijel, H., Danielsson, H., Gelang, J., Sild, E. &amp; Selldén, G. 1998. </w:t>
      </w:r>
      <w:r w:rsidRPr="00232A46">
        <w:rPr>
          <w:rFonts w:ascii="Times New Roman" w:hAnsi="Times New Roman"/>
        </w:rPr>
        <w:t>Growth stage</w:t>
      </w:r>
      <w:r>
        <w:rPr>
          <w:rFonts w:ascii="Times New Roman" w:hAnsi="Times New Roman"/>
        </w:rPr>
        <w:t xml:space="preserve"> </w:t>
      </w:r>
      <w:r w:rsidRPr="00232A46">
        <w:rPr>
          <w:rFonts w:ascii="Times New Roman" w:hAnsi="Times New Roman"/>
        </w:rPr>
        <w:t>dependence of the grain yield response to ozone in spring wheat (</w:t>
      </w:r>
      <w:proofErr w:type="spellStart"/>
      <w:r w:rsidRPr="00232A46">
        <w:rPr>
          <w:rFonts w:ascii="Times New Roman" w:hAnsi="Times New Roman"/>
          <w:iCs/>
        </w:rPr>
        <w:t>Triticum</w:t>
      </w:r>
      <w:proofErr w:type="spellEnd"/>
      <w:r w:rsidRPr="00232A46">
        <w:rPr>
          <w:rFonts w:ascii="Times New Roman" w:hAnsi="Times New Roman"/>
          <w:iCs/>
        </w:rPr>
        <w:t xml:space="preserve"> </w:t>
      </w:r>
      <w:proofErr w:type="spellStart"/>
      <w:r w:rsidRPr="00232A46">
        <w:rPr>
          <w:rFonts w:ascii="Times New Roman" w:hAnsi="Times New Roman"/>
          <w:iCs/>
        </w:rPr>
        <w:t>eastivum</w:t>
      </w:r>
      <w:proofErr w:type="spellEnd"/>
      <w:r w:rsidRPr="00232A46">
        <w:rPr>
          <w:rFonts w:ascii="Times New Roman" w:hAnsi="Times New Roman"/>
          <w:iCs/>
        </w:rPr>
        <w:t xml:space="preserve"> </w:t>
      </w:r>
      <w:r w:rsidRPr="00232A46">
        <w:rPr>
          <w:rFonts w:ascii="Times New Roman" w:hAnsi="Times New Roman"/>
        </w:rPr>
        <w:t xml:space="preserve">L.). </w:t>
      </w:r>
      <w:r w:rsidRPr="006F2F7B">
        <w:rPr>
          <w:rFonts w:ascii="Times New Roman" w:hAnsi="Times New Roman"/>
        </w:rPr>
        <w:t>Agricultural Ecosystem Environment 70, 61–68.</w:t>
      </w:r>
    </w:p>
    <w:p w:rsidR="00D74742" w:rsidRDefault="00D74742" w:rsidP="00D74742">
      <w:pPr>
        <w:autoSpaceDE w:val="0"/>
        <w:autoSpaceDN w:val="0"/>
        <w:adjustRightInd w:val="0"/>
        <w:spacing w:after="0"/>
        <w:jc w:val="both"/>
        <w:rPr>
          <w:rFonts w:ascii="Times New Roman" w:hAnsi="Times New Roman"/>
        </w:rPr>
      </w:pPr>
    </w:p>
    <w:p w:rsidR="00D74742" w:rsidRPr="006129EB" w:rsidRDefault="00D74742" w:rsidP="00D74742">
      <w:pPr>
        <w:autoSpaceDE w:val="0"/>
        <w:autoSpaceDN w:val="0"/>
        <w:adjustRightInd w:val="0"/>
        <w:spacing w:after="0"/>
        <w:jc w:val="both"/>
        <w:rPr>
          <w:rFonts w:ascii="Times New Roman" w:hAnsi="Times New Roman"/>
        </w:rPr>
      </w:pPr>
      <w:proofErr w:type="gramStart"/>
      <w:r w:rsidRPr="006129EB">
        <w:rPr>
          <w:rFonts w:ascii="Times New Roman" w:hAnsi="Times New Roman"/>
        </w:rPr>
        <w:t xml:space="preserve">Van </w:t>
      </w:r>
      <w:proofErr w:type="spellStart"/>
      <w:r w:rsidRPr="006129EB">
        <w:rPr>
          <w:rFonts w:ascii="Times New Roman" w:hAnsi="Times New Roman"/>
        </w:rPr>
        <w:t>Dingenen</w:t>
      </w:r>
      <w:proofErr w:type="spellEnd"/>
      <w:r w:rsidRPr="006129EB">
        <w:rPr>
          <w:rFonts w:ascii="Times New Roman" w:hAnsi="Times New Roman"/>
        </w:rPr>
        <w:t xml:space="preserve">, R., </w:t>
      </w:r>
      <w:proofErr w:type="spellStart"/>
      <w:r w:rsidRPr="006129EB">
        <w:rPr>
          <w:rFonts w:ascii="Times New Roman" w:hAnsi="Times New Roman"/>
        </w:rPr>
        <w:t>Dentener</w:t>
      </w:r>
      <w:proofErr w:type="spellEnd"/>
      <w:r w:rsidRPr="006129EB">
        <w:rPr>
          <w:rFonts w:ascii="Times New Roman" w:hAnsi="Times New Roman"/>
        </w:rPr>
        <w:t xml:space="preserve">, F.J., </w:t>
      </w:r>
      <w:proofErr w:type="spellStart"/>
      <w:r w:rsidRPr="006129EB">
        <w:rPr>
          <w:rFonts w:ascii="Times New Roman" w:hAnsi="Times New Roman"/>
        </w:rPr>
        <w:t>Rae</w:t>
      </w:r>
      <w:r>
        <w:rPr>
          <w:rFonts w:ascii="Times New Roman" w:hAnsi="Times New Roman"/>
        </w:rPr>
        <w:t>s</w:t>
      </w:r>
      <w:proofErr w:type="spellEnd"/>
      <w:r>
        <w:rPr>
          <w:rFonts w:ascii="Times New Roman" w:hAnsi="Times New Roman"/>
        </w:rPr>
        <w:t xml:space="preserve">, F., </w:t>
      </w:r>
      <w:proofErr w:type="spellStart"/>
      <w:r>
        <w:rPr>
          <w:rFonts w:ascii="Times New Roman" w:hAnsi="Times New Roman"/>
        </w:rPr>
        <w:t>Krol</w:t>
      </w:r>
      <w:proofErr w:type="spellEnd"/>
      <w:r>
        <w:rPr>
          <w:rFonts w:ascii="Times New Roman" w:hAnsi="Times New Roman"/>
        </w:rPr>
        <w:t xml:space="preserve">, M.C., </w:t>
      </w:r>
      <w:proofErr w:type="spellStart"/>
      <w:r>
        <w:rPr>
          <w:rFonts w:ascii="Times New Roman" w:hAnsi="Times New Roman"/>
        </w:rPr>
        <w:t>Emberson</w:t>
      </w:r>
      <w:proofErr w:type="spellEnd"/>
      <w:r>
        <w:rPr>
          <w:rFonts w:ascii="Times New Roman" w:hAnsi="Times New Roman"/>
        </w:rPr>
        <w:t>, L. &amp;</w:t>
      </w:r>
      <w:r w:rsidRPr="006129EB">
        <w:rPr>
          <w:rFonts w:ascii="Times New Roman" w:hAnsi="Times New Roman"/>
        </w:rPr>
        <w:t xml:space="preserve"> </w:t>
      </w:r>
      <w:proofErr w:type="spellStart"/>
      <w:r w:rsidRPr="006129EB">
        <w:rPr>
          <w:rFonts w:ascii="Times New Roman" w:hAnsi="Times New Roman"/>
        </w:rPr>
        <w:t>Cofala</w:t>
      </w:r>
      <w:proofErr w:type="spellEnd"/>
      <w:r w:rsidRPr="006129EB">
        <w:rPr>
          <w:rFonts w:ascii="Times New Roman" w:hAnsi="Times New Roman"/>
        </w:rPr>
        <w:t>, J., 2009.</w:t>
      </w:r>
      <w:proofErr w:type="gramEnd"/>
      <w:r w:rsidRPr="006129EB">
        <w:rPr>
          <w:rFonts w:ascii="Times New Roman" w:hAnsi="Times New Roman"/>
        </w:rPr>
        <w:t xml:space="preserve"> The global impact of ozone on agricultural crop yields under current and future air quality </w:t>
      </w:r>
      <w:r>
        <w:rPr>
          <w:rFonts w:ascii="Times New Roman" w:hAnsi="Times New Roman"/>
        </w:rPr>
        <w:t xml:space="preserve">legislation. </w:t>
      </w:r>
      <w:r w:rsidRPr="006129EB">
        <w:rPr>
          <w:rFonts w:ascii="Times New Roman" w:hAnsi="Times New Roman"/>
        </w:rPr>
        <w:t>Atmospheric Environment 43, 604-618.</w:t>
      </w:r>
    </w:p>
    <w:p w:rsidR="00D74742" w:rsidRPr="006129EB" w:rsidRDefault="00D74742" w:rsidP="00D74742">
      <w:pPr>
        <w:autoSpaceDE w:val="0"/>
        <w:autoSpaceDN w:val="0"/>
        <w:adjustRightInd w:val="0"/>
        <w:spacing w:after="0"/>
        <w:jc w:val="both"/>
        <w:rPr>
          <w:rFonts w:ascii="Times New Roman" w:hAnsi="Times New Roman"/>
        </w:rPr>
      </w:pPr>
    </w:p>
    <w:p w:rsidR="00D74742" w:rsidRPr="006129EB" w:rsidRDefault="00D74742" w:rsidP="00D74742">
      <w:pPr>
        <w:autoSpaceDE w:val="0"/>
        <w:autoSpaceDN w:val="0"/>
        <w:adjustRightInd w:val="0"/>
        <w:spacing w:after="0"/>
        <w:jc w:val="both"/>
        <w:rPr>
          <w:rFonts w:ascii="Times New Roman" w:hAnsi="Times New Roman"/>
        </w:rPr>
      </w:pPr>
      <w:proofErr w:type="spellStart"/>
      <w:r w:rsidRPr="006129EB">
        <w:rPr>
          <w:rFonts w:ascii="Times New Roman" w:hAnsi="Times New Roman"/>
        </w:rPr>
        <w:t>Vingarzan</w:t>
      </w:r>
      <w:proofErr w:type="spellEnd"/>
      <w:r w:rsidRPr="006129EB">
        <w:rPr>
          <w:rFonts w:ascii="Times New Roman" w:hAnsi="Times New Roman"/>
        </w:rPr>
        <w:t xml:space="preserve">, R., 2004. </w:t>
      </w:r>
      <w:proofErr w:type="gramStart"/>
      <w:r w:rsidRPr="006129EB">
        <w:rPr>
          <w:rFonts w:ascii="Times New Roman" w:hAnsi="Times New Roman"/>
        </w:rPr>
        <w:t>A review of surface ozone background levels and trends.</w:t>
      </w:r>
      <w:proofErr w:type="gramEnd"/>
      <w:r w:rsidRPr="006129EB">
        <w:rPr>
          <w:rFonts w:ascii="Times New Roman" w:hAnsi="Times New Roman"/>
        </w:rPr>
        <w:t xml:space="preserve"> </w:t>
      </w:r>
      <w:proofErr w:type="gramStart"/>
      <w:r w:rsidRPr="006129EB">
        <w:rPr>
          <w:rFonts w:ascii="Times New Roman" w:hAnsi="Times New Roman"/>
        </w:rPr>
        <w:t>Atmospheric Environment 38, 3431–3442.</w:t>
      </w:r>
      <w:proofErr w:type="gramEnd"/>
    </w:p>
    <w:p w:rsidR="004C7FA2" w:rsidRPr="00D74742" w:rsidRDefault="004C7FA2" w:rsidP="00D74742"/>
    <w:sectPr w:rsidR="004C7FA2" w:rsidRPr="00D74742" w:rsidSect="003C6C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549E0"/>
    <w:rsid w:val="0000362E"/>
    <w:rsid w:val="0003570D"/>
    <w:rsid w:val="000870D0"/>
    <w:rsid w:val="000A1A63"/>
    <w:rsid w:val="000E0B1E"/>
    <w:rsid w:val="000E3671"/>
    <w:rsid w:val="00107EF3"/>
    <w:rsid w:val="0012295B"/>
    <w:rsid w:val="001339F4"/>
    <w:rsid w:val="001478F9"/>
    <w:rsid w:val="00150A91"/>
    <w:rsid w:val="00162E8F"/>
    <w:rsid w:val="001946F2"/>
    <w:rsid w:val="001B6F87"/>
    <w:rsid w:val="001D00D8"/>
    <w:rsid w:val="001F0773"/>
    <w:rsid w:val="001F18FE"/>
    <w:rsid w:val="001F61E2"/>
    <w:rsid w:val="002052A8"/>
    <w:rsid w:val="00206E08"/>
    <w:rsid w:val="00221C9A"/>
    <w:rsid w:val="00225FE6"/>
    <w:rsid w:val="0022609A"/>
    <w:rsid w:val="0022773E"/>
    <w:rsid w:val="00232C2D"/>
    <w:rsid w:val="00251E32"/>
    <w:rsid w:val="00275C9F"/>
    <w:rsid w:val="00286D7C"/>
    <w:rsid w:val="002B794D"/>
    <w:rsid w:val="002E534A"/>
    <w:rsid w:val="002F4BAE"/>
    <w:rsid w:val="002F6194"/>
    <w:rsid w:val="00307BC3"/>
    <w:rsid w:val="0031097E"/>
    <w:rsid w:val="003211F7"/>
    <w:rsid w:val="00344296"/>
    <w:rsid w:val="003471B5"/>
    <w:rsid w:val="003A6D43"/>
    <w:rsid w:val="003B45C0"/>
    <w:rsid w:val="003C1959"/>
    <w:rsid w:val="003C6C82"/>
    <w:rsid w:val="003E6E23"/>
    <w:rsid w:val="003F4C9D"/>
    <w:rsid w:val="00415B86"/>
    <w:rsid w:val="004215E3"/>
    <w:rsid w:val="00447A5C"/>
    <w:rsid w:val="00452509"/>
    <w:rsid w:val="00464ADA"/>
    <w:rsid w:val="00464B07"/>
    <w:rsid w:val="0047053A"/>
    <w:rsid w:val="00476F9B"/>
    <w:rsid w:val="00493B37"/>
    <w:rsid w:val="004A41AB"/>
    <w:rsid w:val="004B6A58"/>
    <w:rsid w:val="004C7FA2"/>
    <w:rsid w:val="004E6692"/>
    <w:rsid w:val="0050211B"/>
    <w:rsid w:val="00507D4F"/>
    <w:rsid w:val="0053084A"/>
    <w:rsid w:val="00532F5A"/>
    <w:rsid w:val="00544F49"/>
    <w:rsid w:val="0057488C"/>
    <w:rsid w:val="005A4AEF"/>
    <w:rsid w:val="005D5D1A"/>
    <w:rsid w:val="00601268"/>
    <w:rsid w:val="00607978"/>
    <w:rsid w:val="006129EB"/>
    <w:rsid w:val="00637715"/>
    <w:rsid w:val="00656A7F"/>
    <w:rsid w:val="00674E61"/>
    <w:rsid w:val="00681C89"/>
    <w:rsid w:val="006944DA"/>
    <w:rsid w:val="006F2F7B"/>
    <w:rsid w:val="0070686E"/>
    <w:rsid w:val="00731F80"/>
    <w:rsid w:val="00754D50"/>
    <w:rsid w:val="00783A4F"/>
    <w:rsid w:val="00787C1E"/>
    <w:rsid w:val="007B042D"/>
    <w:rsid w:val="007B7C45"/>
    <w:rsid w:val="007C3542"/>
    <w:rsid w:val="007F0525"/>
    <w:rsid w:val="008352B9"/>
    <w:rsid w:val="00851119"/>
    <w:rsid w:val="00866196"/>
    <w:rsid w:val="00866C33"/>
    <w:rsid w:val="008A1FBC"/>
    <w:rsid w:val="008D6471"/>
    <w:rsid w:val="0090306C"/>
    <w:rsid w:val="00912375"/>
    <w:rsid w:val="00940647"/>
    <w:rsid w:val="00961461"/>
    <w:rsid w:val="00983BB2"/>
    <w:rsid w:val="009917DE"/>
    <w:rsid w:val="0099570A"/>
    <w:rsid w:val="009A3670"/>
    <w:rsid w:val="009A507F"/>
    <w:rsid w:val="009E4D9D"/>
    <w:rsid w:val="009F4C12"/>
    <w:rsid w:val="00A21C32"/>
    <w:rsid w:val="00A328E8"/>
    <w:rsid w:val="00A336A2"/>
    <w:rsid w:val="00A33EF8"/>
    <w:rsid w:val="00A3467C"/>
    <w:rsid w:val="00A549E0"/>
    <w:rsid w:val="00A66994"/>
    <w:rsid w:val="00A9680B"/>
    <w:rsid w:val="00AA37A3"/>
    <w:rsid w:val="00AB1E1C"/>
    <w:rsid w:val="00AE514D"/>
    <w:rsid w:val="00AF7803"/>
    <w:rsid w:val="00B1322B"/>
    <w:rsid w:val="00B13E52"/>
    <w:rsid w:val="00B27427"/>
    <w:rsid w:val="00B5526F"/>
    <w:rsid w:val="00B62E83"/>
    <w:rsid w:val="00B86FD1"/>
    <w:rsid w:val="00B9363D"/>
    <w:rsid w:val="00BA73B3"/>
    <w:rsid w:val="00BC1A9A"/>
    <w:rsid w:val="00BF4852"/>
    <w:rsid w:val="00C01AF2"/>
    <w:rsid w:val="00C41751"/>
    <w:rsid w:val="00C6435C"/>
    <w:rsid w:val="00C656DB"/>
    <w:rsid w:val="00C67B77"/>
    <w:rsid w:val="00C71618"/>
    <w:rsid w:val="00CA1CE1"/>
    <w:rsid w:val="00CA29E6"/>
    <w:rsid w:val="00CA3927"/>
    <w:rsid w:val="00CC2C44"/>
    <w:rsid w:val="00CD3369"/>
    <w:rsid w:val="00CE04A3"/>
    <w:rsid w:val="00D10E88"/>
    <w:rsid w:val="00D10F05"/>
    <w:rsid w:val="00D130AE"/>
    <w:rsid w:val="00D13CC8"/>
    <w:rsid w:val="00D305FD"/>
    <w:rsid w:val="00D35BC2"/>
    <w:rsid w:val="00D74742"/>
    <w:rsid w:val="00D81144"/>
    <w:rsid w:val="00D915D6"/>
    <w:rsid w:val="00D960C1"/>
    <w:rsid w:val="00DB4774"/>
    <w:rsid w:val="00DD6FCD"/>
    <w:rsid w:val="00DE4AC5"/>
    <w:rsid w:val="00E15238"/>
    <w:rsid w:val="00E15862"/>
    <w:rsid w:val="00E23D28"/>
    <w:rsid w:val="00E32207"/>
    <w:rsid w:val="00E60B70"/>
    <w:rsid w:val="00E8276D"/>
    <w:rsid w:val="00EE1C08"/>
    <w:rsid w:val="00EF524B"/>
    <w:rsid w:val="00F27A1C"/>
    <w:rsid w:val="00F33655"/>
    <w:rsid w:val="00F419DE"/>
    <w:rsid w:val="00F53C65"/>
    <w:rsid w:val="00F96BC7"/>
    <w:rsid w:val="00FA64A1"/>
    <w:rsid w:val="00FC542A"/>
    <w:rsid w:val="00FF389E"/>
    <w:rsid w:val="00FF5CA1"/>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9F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39F4"/>
    <w:rPr>
      <w:rFonts w:ascii="Tahoma" w:hAnsi="Tahoma" w:cs="Tahoma"/>
      <w:sz w:val="16"/>
      <w:szCs w:val="16"/>
    </w:rPr>
  </w:style>
  <w:style w:type="table" w:styleId="TableGrid">
    <w:name w:val="Table Grid"/>
    <w:basedOn w:val="TableNormal"/>
    <w:uiPriority w:val="59"/>
    <w:rsid w:val="00BC1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570A"/>
    <w:pPr>
      <w:ind w:left="720"/>
      <w:contextualSpacing/>
    </w:pPr>
    <w:rPr>
      <w:rFonts w:asciiTheme="minorHAnsi" w:eastAsiaTheme="minorHAnsi" w:hAnsiTheme="minorHAnsi" w:cstheme="minorBidi"/>
    </w:rPr>
  </w:style>
  <w:style w:type="paragraph" w:styleId="NoSpacing">
    <w:name w:val="No Spacing"/>
    <w:uiPriority w:val="99"/>
    <w:qFormat/>
    <w:rsid w:val="00464ADA"/>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5A4A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net.c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IZMA</dc:creator>
  <cp:lastModifiedBy>norizan</cp:lastModifiedBy>
  <cp:revision>2</cp:revision>
  <dcterms:created xsi:type="dcterms:W3CDTF">2013-02-18T16:56:00Z</dcterms:created>
  <dcterms:modified xsi:type="dcterms:W3CDTF">2013-02-18T16:56:00Z</dcterms:modified>
</cp:coreProperties>
</file>